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9E364">
      <w:pPr>
        <w:spacing w:line="530" w:lineRule="exact"/>
        <w:ind w:right="-58"/>
        <w:rPr>
          <w:rFonts w:eastAsia="黑体"/>
          <w:szCs w:val="32"/>
        </w:rPr>
      </w:pPr>
      <w:r>
        <w:rPr>
          <w:rFonts w:eastAsia="黑体"/>
          <w:szCs w:val="32"/>
        </w:rPr>
        <w:t>附件3</w:t>
      </w:r>
    </w:p>
    <w:p w14:paraId="6D929F9B">
      <w:pPr>
        <w:spacing w:line="530" w:lineRule="exact"/>
        <w:ind w:right="210"/>
        <w:jc w:val="left"/>
        <w:rPr>
          <w:rFonts w:ascii="仿宋_GB2312" w:cs="仿宋_GB2312"/>
          <w:szCs w:val="32"/>
        </w:rPr>
      </w:pPr>
    </w:p>
    <w:p w14:paraId="1A01B737">
      <w:pPr>
        <w:spacing w:line="530" w:lineRule="exact"/>
        <w:jc w:val="center"/>
        <w:rPr>
          <w:rFonts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bCs/>
          <w:sz w:val="44"/>
          <w:szCs w:val="44"/>
        </w:rPr>
        <w:t>第三届全国大学生职业规划大赛</w:t>
      </w:r>
    </w:p>
    <w:p w14:paraId="3468C41D">
      <w:pPr>
        <w:spacing w:line="530" w:lineRule="exact"/>
        <w:jc w:val="center"/>
        <w:rPr>
          <w:rFonts w:eastAsia="方正小标宋简体" w:cs="方正小标宋简体"/>
          <w:bCs/>
          <w:sz w:val="44"/>
          <w:szCs w:val="44"/>
        </w:rPr>
      </w:pPr>
      <w:r>
        <w:rPr>
          <w:rFonts w:hint="eastAsia" w:eastAsia="方正小标宋简体" w:cs="方正小标宋简体"/>
          <w:bCs/>
          <w:sz w:val="44"/>
          <w:szCs w:val="44"/>
        </w:rPr>
        <w:t>课程教学赛道方案</w:t>
      </w:r>
    </w:p>
    <w:bookmarkEnd w:id="0"/>
    <w:p w14:paraId="3C03D4BE">
      <w:pPr>
        <w:spacing w:line="530" w:lineRule="exact"/>
        <w:rPr>
          <w:szCs w:val="32"/>
        </w:rPr>
      </w:pPr>
    </w:p>
    <w:p w14:paraId="4F0B92EA">
      <w:pPr>
        <w:spacing w:line="530" w:lineRule="exact"/>
        <w:ind w:firstLine="640" w:firstLineChars="200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一、比赛内容</w:t>
      </w:r>
    </w:p>
    <w:p w14:paraId="59254391">
      <w:pPr>
        <w:spacing w:line="530" w:lineRule="exact"/>
        <w:ind w:firstLine="640" w:firstLineChars="200"/>
        <w:rPr>
          <w:rFonts w:cs="仿宋_GB2312"/>
          <w:szCs w:val="32"/>
        </w:rPr>
      </w:pPr>
      <w:r>
        <w:rPr>
          <w:rFonts w:hint="eastAsia" w:cs="仿宋_GB2312"/>
          <w:szCs w:val="32"/>
        </w:rPr>
        <w:t>围绕落实立德树人根本任务、促进高质量充分就业，考察高校面向国家社会发展需要和学生全面发展需求，开设的大学生职业发展与就业指导课程建设情况、改革创新和实施效果，以及授课教师教学水平。</w:t>
      </w:r>
    </w:p>
    <w:p w14:paraId="703E91C1">
      <w:pPr>
        <w:spacing w:line="530" w:lineRule="exact"/>
        <w:ind w:firstLine="640" w:firstLineChars="200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二、参赛组别和对象</w:t>
      </w:r>
    </w:p>
    <w:p w14:paraId="79D67414">
      <w:pPr>
        <w:spacing w:line="530" w:lineRule="exact"/>
        <w:ind w:firstLine="640" w:firstLineChars="200"/>
        <w:rPr>
          <w:rFonts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（一）参赛组别：</w:t>
      </w:r>
      <w:r>
        <w:rPr>
          <w:rFonts w:hint="eastAsia" w:cs="仿宋_GB2312"/>
          <w:szCs w:val="32"/>
        </w:rPr>
        <w:t>设高教组和职教组，高教组面向普通本科院校，职教组面向职教本科和高职（专科）院校。</w:t>
      </w:r>
    </w:p>
    <w:p w14:paraId="13D0A63D">
      <w:pPr>
        <w:spacing w:line="530" w:lineRule="exact"/>
        <w:ind w:firstLine="640" w:firstLineChars="200"/>
        <w:rPr>
          <w:rFonts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（二）参赛对象：</w:t>
      </w:r>
      <w:r>
        <w:rPr>
          <w:rFonts w:hint="eastAsia" w:cs="仿宋_GB2312"/>
          <w:szCs w:val="32"/>
        </w:rPr>
        <w:t>普通高等学校开设的大学生职业发展与就业指导类课程（不含创新创业类课程和相关专业类课程），每校限1门，学校确定1名课程主讲教师（须是学校在编或正式聘用人员）作为选手参加现场比赛。比赛主要面向</w:t>
      </w:r>
      <w:r>
        <w:rPr>
          <w:rFonts w:hint="eastAsia"/>
          <w:szCs w:val="32"/>
        </w:rPr>
        <w:t>必修课程，有特色的选修课程也可参赛，</w:t>
      </w:r>
      <w:r>
        <w:rPr>
          <w:rFonts w:hint="eastAsia" w:cs="仿宋_GB2312"/>
          <w:szCs w:val="32"/>
        </w:rPr>
        <w:t>课程近3年开设至少2轮。</w:t>
      </w:r>
    </w:p>
    <w:p w14:paraId="786B51EA">
      <w:pPr>
        <w:spacing w:line="530" w:lineRule="exact"/>
        <w:ind w:firstLine="640" w:firstLineChars="200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三、赛程安排</w:t>
      </w:r>
    </w:p>
    <w:p w14:paraId="61D96A5B">
      <w:pPr>
        <w:spacing w:line="530" w:lineRule="exact"/>
        <w:ind w:firstLine="640" w:firstLineChars="200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</w:t>
      </w:r>
      <w:r>
        <w:rPr>
          <w:rFonts w:eastAsia="楷体_GB2312"/>
          <w:szCs w:val="32"/>
        </w:rPr>
        <w:t>省赛选拔（2025年10月—1</w:t>
      </w:r>
      <w:r>
        <w:rPr>
          <w:rFonts w:hint="eastAsia" w:eastAsia="楷体_GB2312"/>
          <w:szCs w:val="32"/>
        </w:rPr>
        <w:t>1</w:t>
      </w:r>
      <w:r>
        <w:rPr>
          <w:rFonts w:eastAsia="楷体_GB2312"/>
          <w:szCs w:val="32"/>
        </w:rPr>
        <w:t>月）</w:t>
      </w:r>
    </w:p>
    <w:p w14:paraId="54384D3D">
      <w:pPr>
        <w:spacing w:line="53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1. 省赛由各地负责组织，参照本赛道方案自主确定高校参赛名额、比赛环节、评审方式和奖项设置等。推荐课程要注重优中选优、兼顾高校类型。鼓励各地同期开展教师教育培训、课程研讨等交流活动。</w:t>
      </w:r>
    </w:p>
    <w:p w14:paraId="521143C2">
      <w:pPr>
        <w:spacing w:line="53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2. 大赛组委会综合各地高等教育规模、大学生职业发展与就业指导课程开设情况等因素，分配全国总决赛参赛名额。各地</w:t>
      </w:r>
      <w:r>
        <w:rPr>
          <w:szCs w:val="32"/>
        </w:rPr>
        <w:t>12</w:t>
      </w:r>
      <w:r>
        <w:rPr>
          <w:rFonts w:hint="eastAsia"/>
          <w:szCs w:val="32"/>
        </w:rPr>
        <w:t>月10日前完成全国总决赛参赛课程和选手推荐工作。</w:t>
      </w:r>
    </w:p>
    <w:p w14:paraId="3D7386B9">
      <w:pPr>
        <w:spacing w:line="530" w:lineRule="exact"/>
        <w:ind w:firstLine="640" w:firstLineChars="200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（二）全国总决赛（</w:t>
      </w:r>
      <w:r>
        <w:rPr>
          <w:rFonts w:eastAsia="楷体_GB2312"/>
          <w:szCs w:val="32"/>
        </w:rPr>
        <w:t>2026年</w:t>
      </w:r>
      <w:r>
        <w:rPr>
          <w:rFonts w:hint="eastAsia"/>
          <w:szCs w:val="32"/>
        </w:rPr>
        <w:t>1</w:t>
      </w:r>
      <w:r>
        <w:rPr>
          <w:rFonts w:hint="eastAsia" w:ascii="楷体_GB2312" w:hAnsi="楷体_GB2312" w:eastAsia="楷体_GB2312" w:cs="楷体_GB2312"/>
          <w:szCs w:val="32"/>
        </w:rPr>
        <w:t>月）</w:t>
      </w:r>
    </w:p>
    <w:p w14:paraId="7A158DD9">
      <w:pPr>
        <w:spacing w:line="53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1. 网络评审（</w:t>
      </w:r>
      <w:r>
        <w:rPr>
          <w:szCs w:val="32"/>
        </w:rPr>
        <w:t>1</w:t>
      </w:r>
      <w:r>
        <w:rPr>
          <w:rFonts w:hint="eastAsia"/>
          <w:szCs w:val="32"/>
        </w:rPr>
        <w:t>2月）：大赛组委会将组织专家对参赛课程材料进行评审，约100人晋级现场比赛。</w:t>
      </w:r>
    </w:p>
    <w:p w14:paraId="684C17AD">
      <w:pPr>
        <w:spacing w:line="53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2. 现场比赛（1月）：选手现场进行课程建设情况汇报、教学展示、互动答辩三个环节的比赛。</w:t>
      </w:r>
    </w:p>
    <w:p w14:paraId="30E0851B">
      <w:pPr>
        <w:spacing w:line="530" w:lineRule="exact"/>
        <w:ind w:firstLine="640" w:firstLineChars="200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四、参赛材料要求</w:t>
      </w:r>
    </w:p>
    <w:p w14:paraId="66040F70">
      <w:pPr>
        <w:spacing w:line="53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（一）课程教学赛道参赛申报表。包括课程概述、课程目标、课程团队、特色创新点等方面内容。</w:t>
      </w:r>
    </w:p>
    <w:p w14:paraId="5A740909">
      <w:pPr>
        <w:spacing w:line="53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（二）课程支撑材料。包括课程教案、评教结果及其他证明材料（合并成单个PDF格式文件，不超过30MB）。</w:t>
      </w:r>
    </w:p>
    <w:p w14:paraId="14236A4E">
      <w:pPr>
        <w:wordWrap w:val="0"/>
        <w:spacing w:line="53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（三）全国总决赛现场比赛课程汇报材料。提交时间、内容及格式等要求另行通知。</w:t>
      </w:r>
    </w:p>
    <w:p w14:paraId="6B28837D">
      <w:pPr>
        <w:wordWrap w:val="0"/>
        <w:spacing w:line="53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（四）参赛课程应保证相关参赛材料的原创性，不得抄袭、剽窃他人作品，如产生侵权行为或涉及知识产权纠纷，由参赛选手及所在高校承担相应责任。</w:t>
      </w:r>
    </w:p>
    <w:p w14:paraId="5AD62435">
      <w:pPr>
        <w:wordWrap w:val="0"/>
        <w:spacing w:line="53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请在全国大学生职业规划大赛官网（网址：zgs.chsi.com.cn）下载课程教学赛道参赛申报表、课程支撑材料一览表等材料。</w:t>
      </w:r>
    </w:p>
    <w:p w14:paraId="645D1A4F">
      <w:pPr>
        <w:spacing w:line="530" w:lineRule="exact"/>
        <w:ind w:firstLine="640" w:firstLineChars="200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五、现场比赛环节</w:t>
      </w:r>
    </w:p>
    <w:p w14:paraId="2DE04F51">
      <w:pPr>
        <w:spacing w:line="530" w:lineRule="exact"/>
        <w:ind w:firstLine="640" w:firstLineChars="200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（一）课程建设情况汇报</w:t>
      </w:r>
      <w:r>
        <w:rPr>
          <w:rFonts w:hint="eastAsia"/>
          <w:szCs w:val="32"/>
        </w:rPr>
        <w:t>（6分钟）。选手展示课程创新探索、实施情况、成效体现等。</w:t>
      </w:r>
    </w:p>
    <w:p w14:paraId="41A1AF98">
      <w:pPr>
        <w:spacing w:line="530" w:lineRule="exact"/>
        <w:ind w:firstLine="640" w:firstLineChars="200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（二）教学展示（</w:t>
      </w:r>
      <w:r>
        <w:rPr>
          <w:szCs w:val="32"/>
        </w:rPr>
        <w:t>10</w:t>
      </w:r>
      <w:r>
        <w:rPr>
          <w:rFonts w:hint="eastAsia"/>
          <w:szCs w:val="32"/>
        </w:rPr>
        <w:t>分钟）。选手提供5个教学节段，现场随机抽取1个进行无生授课模式讲授。</w:t>
      </w:r>
    </w:p>
    <w:p w14:paraId="18A167F2">
      <w:pPr>
        <w:spacing w:line="530" w:lineRule="exact"/>
        <w:ind w:firstLine="640" w:firstLineChars="200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（三）互动答辩</w:t>
      </w:r>
      <w:r>
        <w:rPr>
          <w:rFonts w:hint="eastAsia"/>
          <w:szCs w:val="32"/>
        </w:rPr>
        <w:t>（</w:t>
      </w:r>
      <w:r>
        <w:rPr>
          <w:szCs w:val="32"/>
        </w:rPr>
        <w:t>6</w:t>
      </w:r>
      <w:r>
        <w:rPr>
          <w:rFonts w:hint="eastAsia"/>
          <w:szCs w:val="32"/>
        </w:rPr>
        <w:t>分钟）。评委针对选手汇报情况和教学展示提问，主要考察课程建设水平、特色创新改革（探索）效果等。</w:t>
      </w:r>
    </w:p>
    <w:p w14:paraId="2BCEB8EB">
      <w:pPr>
        <w:spacing w:line="530" w:lineRule="exact"/>
        <w:ind w:firstLine="640" w:firstLineChars="200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六、评审标准</w:t>
      </w:r>
    </w:p>
    <w:p w14:paraId="14E52769">
      <w:pPr>
        <w:spacing w:line="53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现场比赛选手最终成绩由网络评审和现场比赛两部分成绩组成。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5418"/>
        <w:gridCol w:w="856"/>
      </w:tblGrid>
      <w:tr w14:paraId="001D8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3"/>
            <w:vAlign w:val="center"/>
          </w:tcPr>
          <w:p w14:paraId="72D88052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eastAsia="黑体"/>
                <w:szCs w:val="32"/>
              </w:rPr>
              <w:t>一</w:t>
            </w:r>
            <w:r>
              <w:rPr>
                <w:rFonts w:eastAsia="黑体"/>
                <w:szCs w:val="32"/>
              </w:rPr>
              <w:t>、</w:t>
            </w:r>
            <w:r>
              <w:rPr>
                <w:rFonts w:hint="eastAsia" w:eastAsia="黑体"/>
                <w:szCs w:val="32"/>
              </w:rPr>
              <w:t>网络评审</w:t>
            </w:r>
          </w:p>
        </w:tc>
      </w:tr>
      <w:tr w14:paraId="7232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48" w:type="dxa"/>
            <w:vAlign w:val="center"/>
          </w:tcPr>
          <w:p w14:paraId="6D42EE32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评价维度</w:t>
            </w:r>
          </w:p>
        </w:tc>
        <w:tc>
          <w:tcPr>
            <w:tcW w:w="5418" w:type="dxa"/>
            <w:vAlign w:val="center"/>
          </w:tcPr>
          <w:p w14:paraId="142B069B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评价要点</w:t>
            </w:r>
          </w:p>
        </w:tc>
        <w:tc>
          <w:tcPr>
            <w:tcW w:w="856" w:type="dxa"/>
            <w:vAlign w:val="center"/>
          </w:tcPr>
          <w:p w14:paraId="22F0D089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分值</w:t>
            </w:r>
          </w:p>
        </w:tc>
      </w:tr>
      <w:tr w14:paraId="67A1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248" w:type="dxa"/>
            <w:vMerge w:val="restart"/>
            <w:vAlign w:val="center"/>
          </w:tcPr>
          <w:p w14:paraId="2F766792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1.课程定位及目标</w:t>
            </w:r>
          </w:p>
        </w:tc>
        <w:tc>
          <w:tcPr>
            <w:tcW w:w="5418" w:type="dxa"/>
            <w:vAlign w:val="center"/>
          </w:tcPr>
          <w:p w14:paraId="21E31D9E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围绕国家经济社会发展需求和学校办学定位设置课程，与思想政治教育、专业教育深度融合，体现就业育人理念，突出专业性、前瞻性、实操性</w:t>
            </w:r>
          </w:p>
        </w:tc>
        <w:tc>
          <w:tcPr>
            <w:tcW w:w="856" w:type="dxa"/>
            <w:vMerge w:val="restart"/>
            <w:vAlign w:val="center"/>
          </w:tcPr>
          <w:p w14:paraId="3E337D2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14:paraId="4CCB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2248" w:type="dxa"/>
            <w:vMerge w:val="continue"/>
            <w:vAlign w:val="center"/>
          </w:tcPr>
          <w:p w14:paraId="1040FD28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1B230893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课程目标落实立德树人要求，以服务学生发展为中心，遵循学生成长规律，引导学生从实际出发选择职业和工作岗位、提升学生生涯规划能力和求职就业能力，促进高质量充分就业</w:t>
            </w:r>
          </w:p>
        </w:tc>
        <w:tc>
          <w:tcPr>
            <w:tcW w:w="856" w:type="dxa"/>
            <w:vMerge w:val="continue"/>
            <w:vAlign w:val="center"/>
          </w:tcPr>
          <w:p w14:paraId="09CC53A4">
            <w:pPr>
              <w:jc w:val="center"/>
              <w:rPr>
                <w:sz w:val="26"/>
                <w:szCs w:val="26"/>
              </w:rPr>
            </w:pPr>
          </w:p>
        </w:tc>
      </w:tr>
      <w:tr w14:paraId="006D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2248" w:type="dxa"/>
            <w:vAlign w:val="center"/>
          </w:tcPr>
          <w:p w14:paraId="57231364">
            <w:r>
              <w:rPr>
                <w:rFonts w:hint="eastAsia" w:eastAsia="楷体_GB2312"/>
                <w:sz w:val="26"/>
                <w:szCs w:val="26"/>
              </w:rPr>
              <w:t>2.课程性质及覆盖面</w:t>
            </w:r>
          </w:p>
        </w:tc>
        <w:tc>
          <w:tcPr>
            <w:tcW w:w="5418" w:type="dxa"/>
            <w:vAlign w:val="center"/>
          </w:tcPr>
          <w:p w14:paraId="50427D89">
            <w:pPr>
              <w:rPr>
                <w:rFonts w:ascii="仿宋_GB2312" w:hAnsi="仿宋_GB2312" w:eastAsia="楷体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课程正式纳入人才培养方案，面向有就业意愿或求职需要的学生群体开设，结合校情、学情设置必修课或选修课，合理确定课程开设年级、学时及学分，优先支持覆盖所有学生的必修课</w:t>
            </w:r>
          </w:p>
        </w:tc>
        <w:tc>
          <w:tcPr>
            <w:tcW w:w="856" w:type="dxa"/>
            <w:vAlign w:val="center"/>
          </w:tcPr>
          <w:p w14:paraId="04D8D752">
            <w:pPr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14:paraId="3084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48" w:type="dxa"/>
            <w:vMerge w:val="restart"/>
            <w:vAlign w:val="center"/>
          </w:tcPr>
          <w:p w14:paraId="3EC9062A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3.课程教师团队</w:t>
            </w:r>
          </w:p>
        </w:tc>
        <w:tc>
          <w:tcPr>
            <w:tcW w:w="5418" w:type="dxa"/>
            <w:vAlign w:val="center"/>
          </w:tcPr>
          <w:p w14:paraId="56E3F4FE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课程教师团队负责人具备较高专业素养，熟练掌握生涯教育理论，具备就业指导专业能力，就业工作经验丰富，能够结合学校实际情况建立结构规模与授课学生覆盖面相匹配，专业素养过硬的教学团队</w:t>
            </w:r>
          </w:p>
        </w:tc>
        <w:tc>
          <w:tcPr>
            <w:tcW w:w="856" w:type="dxa"/>
            <w:vMerge w:val="restart"/>
            <w:vAlign w:val="center"/>
          </w:tcPr>
          <w:p w14:paraId="2B5FCE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15</w:t>
            </w:r>
          </w:p>
        </w:tc>
      </w:tr>
      <w:tr w14:paraId="6630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2248" w:type="dxa"/>
            <w:vMerge w:val="continue"/>
            <w:vAlign w:val="center"/>
          </w:tcPr>
          <w:p w14:paraId="258CE820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53244E3D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教师团队成员相对稳定，具有良好的梯队结构、学缘结构、职称结构，校外兼职教师配备合理，体现所在学校的学科专业或行业特色，满足课程教学实际需要，能够结合学生学情和需求进行有针对性的课程创新改革</w:t>
            </w:r>
          </w:p>
        </w:tc>
        <w:tc>
          <w:tcPr>
            <w:tcW w:w="856" w:type="dxa"/>
            <w:vMerge w:val="continue"/>
            <w:vAlign w:val="center"/>
          </w:tcPr>
          <w:p w14:paraId="7807E2F3">
            <w:pPr>
              <w:jc w:val="center"/>
              <w:rPr>
                <w:sz w:val="26"/>
                <w:szCs w:val="26"/>
              </w:rPr>
            </w:pPr>
          </w:p>
        </w:tc>
      </w:tr>
      <w:tr w14:paraId="0C9B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248" w:type="dxa"/>
            <w:vMerge w:val="restart"/>
            <w:vAlign w:val="center"/>
          </w:tcPr>
          <w:p w14:paraId="75E15839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 xml:space="preserve">4.课程内容及设计 </w:t>
            </w:r>
          </w:p>
        </w:tc>
        <w:tc>
          <w:tcPr>
            <w:tcW w:w="5418" w:type="dxa"/>
            <w:vAlign w:val="center"/>
          </w:tcPr>
          <w:p w14:paraId="5B597DA1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课程内容围绕生涯规划指导、就业观念引导、就业政策解读、求职技能提升等其中一个或多个方面组织设计，体现思想性、学术性和时代性相统一，兼顾课程共性与学校个性</w:t>
            </w:r>
          </w:p>
        </w:tc>
        <w:tc>
          <w:tcPr>
            <w:tcW w:w="856" w:type="dxa"/>
            <w:vMerge w:val="restart"/>
            <w:vAlign w:val="center"/>
          </w:tcPr>
          <w:p w14:paraId="2D9B55D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</w:p>
        </w:tc>
      </w:tr>
      <w:tr w14:paraId="4C92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48" w:type="dxa"/>
            <w:vMerge w:val="continue"/>
            <w:vAlign w:val="center"/>
          </w:tcPr>
          <w:p w14:paraId="4C39F7D7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643B7CA8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综合运用多种教学策略，结合内容采用丰富的教学活动。注重教学互动，强化学生主体意识，能够通过教学有效引发学生思考和行动</w:t>
            </w:r>
          </w:p>
        </w:tc>
        <w:tc>
          <w:tcPr>
            <w:tcW w:w="856" w:type="dxa"/>
            <w:vMerge w:val="continue"/>
            <w:vAlign w:val="center"/>
          </w:tcPr>
          <w:p w14:paraId="4E4C68E0">
            <w:pPr>
              <w:jc w:val="center"/>
              <w:rPr>
                <w:sz w:val="26"/>
                <w:szCs w:val="26"/>
              </w:rPr>
            </w:pPr>
          </w:p>
        </w:tc>
      </w:tr>
      <w:tr w14:paraId="1952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48" w:type="dxa"/>
            <w:vMerge w:val="continue"/>
            <w:vAlign w:val="center"/>
          </w:tcPr>
          <w:p w14:paraId="3B690279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7F1938C1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内容与本地区，本学校相关政策、形势、案例结合良好，各类教学案例和资源有时效性，强化职业体验和就业实习实践，与理论授课协同配合，提升实践教学的有效性。鼓励学生结合课程学习完成大赛平台生涯闯关</w:t>
            </w:r>
          </w:p>
        </w:tc>
        <w:tc>
          <w:tcPr>
            <w:tcW w:w="856" w:type="dxa"/>
            <w:vMerge w:val="continue"/>
            <w:vAlign w:val="center"/>
          </w:tcPr>
          <w:p w14:paraId="6A61EB18">
            <w:pPr>
              <w:jc w:val="center"/>
              <w:rPr>
                <w:sz w:val="26"/>
                <w:szCs w:val="26"/>
              </w:rPr>
            </w:pPr>
          </w:p>
        </w:tc>
      </w:tr>
      <w:tr w14:paraId="144A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</w:trPr>
        <w:tc>
          <w:tcPr>
            <w:tcW w:w="2248" w:type="dxa"/>
            <w:vMerge w:val="restart"/>
            <w:vAlign w:val="center"/>
          </w:tcPr>
          <w:p w14:paraId="16769D8D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5.课程建设与改革</w:t>
            </w:r>
          </w:p>
        </w:tc>
        <w:tc>
          <w:tcPr>
            <w:tcW w:w="5418" w:type="dxa"/>
            <w:vAlign w:val="center"/>
          </w:tcPr>
          <w:p w14:paraId="34ACD0B9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课程开设</w:t>
            </w:r>
            <w:r>
              <w:rPr>
                <w:rFonts w:hint="eastAsia"/>
                <w:sz w:val="26"/>
                <w:szCs w:val="26"/>
              </w:rPr>
              <w:t>3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年以上，在建设发展过程中持续改进优化，课程资源等建设成果突出，出版或选用高质量教材，按需组织修订或更新调整</w:t>
            </w:r>
          </w:p>
        </w:tc>
        <w:tc>
          <w:tcPr>
            <w:tcW w:w="856" w:type="dxa"/>
            <w:vMerge w:val="restart"/>
            <w:vAlign w:val="center"/>
          </w:tcPr>
          <w:p w14:paraId="08E21223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15</w:t>
            </w:r>
          </w:p>
        </w:tc>
      </w:tr>
      <w:tr w14:paraId="3210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2248" w:type="dxa"/>
            <w:vMerge w:val="continue"/>
            <w:vAlign w:val="center"/>
          </w:tcPr>
          <w:p w14:paraId="6802C616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2EC2CD6C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形成较有特色课程建设模式，教学研究及教改成果丰富，获得代表性教学奖励</w:t>
            </w:r>
          </w:p>
        </w:tc>
        <w:tc>
          <w:tcPr>
            <w:tcW w:w="856" w:type="dxa"/>
            <w:vMerge w:val="continue"/>
            <w:vAlign w:val="center"/>
          </w:tcPr>
          <w:p w14:paraId="535D3E95">
            <w:pPr>
              <w:jc w:val="center"/>
              <w:rPr>
                <w:sz w:val="26"/>
                <w:szCs w:val="26"/>
              </w:rPr>
            </w:pPr>
          </w:p>
        </w:tc>
      </w:tr>
      <w:tr w14:paraId="6FB2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2248" w:type="dxa"/>
            <w:vMerge w:val="continue"/>
            <w:vAlign w:val="center"/>
          </w:tcPr>
          <w:p w14:paraId="28450017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243D1C10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有今后</w:t>
            </w:r>
            <w:r>
              <w:rPr>
                <w:rFonts w:hint="eastAsia"/>
                <w:sz w:val="26"/>
                <w:szCs w:val="26"/>
              </w:rPr>
              <w:t>3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年的课程建设计划，改进方向明确，问题导向、效果导向突出，改进措施具体可行</w:t>
            </w:r>
          </w:p>
        </w:tc>
        <w:tc>
          <w:tcPr>
            <w:tcW w:w="856" w:type="dxa"/>
            <w:vMerge w:val="continue"/>
            <w:vAlign w:val="center"/>
          </w:tcPr>
          <w:p w14:paraId="7D8AEAE3">
            <w:pPr>
              <w:jc w:val="center"/>
              <w:rPr>
                <w:sz w:val="26"/>
                <w:szCs w:val="26"/>
              </w:rPr>
            </w:pPr>
          </w:p>
        </w:tc>
      </w:tr>
      <w:tr w14:paraId="101C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exact"/>
        </w:trPr>
        <w:tc>
          <w:tcPr>
            <w:tcW w:w="2248" w:type="dxa"/>
            <w:vMerge w:val="restart"/>
            <w:vAlign w:val="center"/>
          </w:tcPr>
          <w:p w14:paraId="34E8A1DD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6.课程特色创新点</w:t>
            </w:r>
          </w:p>
        </w:tc>
        <w:tc>
          <w:tcPr>
            <w:tcW w:w="5418" w:type="dxa"/>
            <w:vAlign w:val="center"/>
          </w:tcPr>
          <w:p w14:paraId="0DB7FE71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注重通过理念创新、内容拓展、教学方法创新、技术手段运用等，不断提升课程质量。课程设计充分结合中国传统文化和时代需要，注重融入专业特色。鼓励结合学校特色和学生特点探索中国特色生涯教育理论创新，课程更好结合经济社会发展需要，实现课程与就业工作良性互动</w:t>
            </w:r>
          </w:p>
        </w:tc>
        <w:tc>
          <w:tcPr>
            <w:tcW w:w="856" w:type="dxa"/>
            <w:vMerge w:val="restart"/>
            <w:vAlign w:val="center"/>
          </w:tcPr>
          <w:p w14:paraId="1C1074BD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</w:p>
        </w:tc>
      </w:tr>
      <w:tr w14:paraId="3951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2248" w:type="dxa"/>
            <w:vMerge w:val="continue"/>
            <w:vAlign w:val="center"/>
          </w:tcPr>
          <w:p w14:paraId="76443414">
            <w:pPr>
              <w:rPr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1A25A713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/>
                <w:sz w:val="26"/>
                <w:szCs w:val="26"/>
              </w:rPr>
              <w:t>教学中精准把握学生个性化诉求，运用AI赋能、体验式学习等手段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开展教学方法创新，具备较强的借鉴和推广价值</w:t>
            </w:r>
          </w:p>
        </w:tc>
        <w:tc>
          <w:tcPr>
            <w:tcW w:w="856" w:type="dxa"/>
            <w:vMerge w:val="continue"/>
            <w:vAlign w:val="center"/>
          </w:tcPr>
          <w:p w14:paraId="3922BCC0">
            <w:pPr>
              <w:jc w:val="center"/>
              <w:rPr>
                <w:sz w:val="26"/>
                <w:szCs w:val="26"/>
              </w:rPr>
            </w:pPr>
          </w:p>
        </w:tc>
      </w:tr>
      <w:tr w14:paraId="6102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exact"/>
        </w:trPr>
        <w:tc>
          <w:tcPr>
            <w:tcW w:w="2248" w:type="dxa"/>
            <w:vMerge w:val="restart"/>
            <w:vAlign w:val="center"/>
          </w:tcPr>
          <w:p w14:paraId="75F07BCC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7</w:t>
            </w:r>
            <w:r>
              <w:rPr>
                <w:rFonts w:eastAsia="楷体_GB2312"/>
                <w:sz w:val="26"/>
                <w:szCs w:val="26"/>
              </w:rPr>
              <w:t>.</w:t>
            </w:r>
            <w:r>
              <w:rPr>
                <w:rFonts w:hint="eastAsia" w:eastAsia="楷体_GB2312"/>
                <w:sz w:val="26"/>
                <w:szCs w:val="26"/>
              </w:rPr>
              <w:t>课程实施成效</w:t>
            </w:r>
          </w:p>
        </w:tc>
        <w:tc>
          <w:tcPr>
            <w:tcW w:w="5418" w:type="dxa"/>
            <w:vAlign w:val="center"/>
          </w:tcPr>
          <w:p w14:paraId="2D050CE3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课程教学满足学生生涯规划和求职就业的真实需求，学生的评教结果满意度水平高，基于学生评教结果开展教学研究，持续改进优化课程教学</w:t>
            </w:r>
          </w:p>
        </w:tc>
        <w:tc>
          <w:tcPr>
            <w:tcW w:w="856" w:type="dxa"/>
            <w:vMerge w:val="restart"/>
            <w:vAlign w:val="center"/>
          </w:tcPr>
          <w:p w14:paraId="29B866D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14:paraId="6D3D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2248" w:type="dxa"/>
            <w:vMerge w:val="continue"/>
            <w:vAlign w:val="center"/>
          </w:tcPr>
          <w:p w14:paraId="2F7D5BB1">
            <w:pPr>
              <w:rPr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19D77E65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课程达到预期目标，学生更加积极投入专业学习、主动开展实习实践，学生就业去向与学校定位、人才培养目标总体一致</w:t>
            </w:r>
          </w:p>
        </w:tc>
        <w:tc>
          <w:tcPr>
            <w:tcW w:w="856" w:type="dxa"/>
            <w:vMerge w:val="continue"/>
            <w:vAlign w:val="center"/>
          </w:tcPr>
          <w:p w14:paraId="6AE11F36">
            <w:pPr>
              <w:jc w:val="center"/>
              <w:rPr>
                <w:sz w:val="26"/>
                <w:szCs w:val="26"/>
              </w:rPr>
            </w:pPr>
          </w:p>
        </w:tc>
      </w:tr>
      <w:tr w14:paraId="4893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8" w:type="dxa"/>
            <w:vAlign w:val="center"/>
          </w:tcPr>
          <w:p w14:paraId="1F528B4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5418" w:type="dxa"/>
            <w:vAlign w:val="center"/>
          </w:tcPr>
          <w:p w14:paraId="7928691B">
            <w:pPr>
              <w:rPr>
                <w:sz w:val="26"/>
                <w:szCs w:val="26"/>
              </w:rPr>
            </w:pPr>
          </w:p>
        </w:tc>
        <w:tc>
          <w:tcPr>
            <w:tcW w:w="856" w:type="dxa"/>
            <w:vAlign w:val="center"/>
          </w:tcPr>
          <w:p w14:paraId="2A57A0E1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34105630"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5411"/>
        <w:gridCol w:w="845"/>
      </w:tblGrid>
      <w:tr w14:paraId="3A72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3"/>
            <w:vAlign w:val="center"/>
          </w:tcPr>
          <w:p w14:paraId="688F304A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eastAsia="黑体"/>
                <w:szCs w:val="32"/>
              </w:rPr>
              <w:t>二</w:t>
            </w:r>
            <w:r>
              <w:rPr>
                <w:rFonts w:eastAsia="黑体"/>
                <w:szCs w:val="32"/>
              </w:rPr>
              <w:t>、现场比赛</w:t>
            </w:r>
          </w:p>
        </w:tc>
      </w:tr>
      <w:tr w14:paraId="4CFE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vAlign w:val="center"/>
          </w:tcPr>
          <w:p w14:paraId="5B0C4F51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评价维度</w:t>
            </w:r>
          </w:p>
        </w:tc>
        <w:tc>
          <w:tcPr>
            <w:tcW w:w="5411" w:type="dxa"/>
            <w:vAlign w:val="center"/>
          </w:tcPr>
          <w:p w14:paraId="17136196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评价要点</w:t>
            </w:r>
          </w:p>
        </w:tc>
        <w:tc>
          <w:tcPr>
            <w:tcW w:w="845" w:type="dxa"/>
            <w:vAlign w:val="center"/>
          </w:tcPr>
          <w:p w14:paraId="185FBB8D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分值</w:t>
            </w:r>
          </w:p>
        </w:tc>
      </w:tr>
      <w:tr w14:paraId="3E0A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exact"/>
        </w:trPr>
        <w:tc>
          <w:tcPr>
            <w:tcW w:w="2266" w:type="dxa"/>
            <w:vAlign w:val="center"/>
          </w:tcPr>
          <w:p w14:paraId="61B7BC55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1.课程建设情况汇报与互动答辩</w:t>
            </w:r>
          </w:p>
        </w:tc>
        <w:tc>
          <w:tcPr>
            <w:tcW w:w="5411" w:type="dxa"/>
            <w:vAlign w:val="center"/>
          </w:tcPr>
          <w:p w14:paraId="1E04F3E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规定时间内汇报课程创新方法、实施情况、效果体现等。回答问题能够体现教师对课程建设的理解和思考，反映课程建设的特色、水平和对学生发展促进作用</w:t>
            </w:r>
          </w:p>
        </w:tc>
        <w:tc>
          <w:tcPr>
            <w:tcW w:w="845" w:type="dxa"/>
            <w:vAlign w:val="center"/>
          </w:tcPr>
          <w:p w14:paraId="2FD6A416"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>
              <w:rPr>
                <w:rFonts w:eastAsia="宋体"/>
                <w:sz w:val="26"/>
                <w:szCs w:val="26"/>
              </w:rPr>
              <w:t>0</w:t>
            </w:r>
          </w:p>
        </w:tc>
      </w:tr>
      <w:tr w14:paraId="313C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6" w:type="dxa"/>
            <w:vMerge w:val="restart"/>
            <w:vAlign w:val="center"/>
          </w:tcPr>
          <w:p w14:paraId="6FAA36CB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/>
                <w:sz w:val="26"/>
                <w:szCs w:val="26"/>
              </w:rPr>
              <w:t>2</w:t>
            </w:r>
            <w:r>
              <w:rPr>
                <w:rFonts w:hint="eastAsia" w:eastAsia="楷体_GB2312"/>
                <w:sz w:val="26"/>
                <w:szCs w:val="26"/>
              </w:rPr>
              <w:t>.教学展示</w:t>
            </w:r>
          </w:p>
        </w:tc>
        <w:tc>
          <w:tcPr>
            <w:tcW w:w="5411" w:type="dxa"/>
            <w:vAlign w:val="center"/>
          </w:tcPr>
          <w:p w14:paraId="5AEC2B5D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围绕主题合理设计内容，采用适当教学方法，体现对学生实践行动的促进，实现预期教学目标</w:t>
            </w:r>
          </w:p>
        </w:tc>
        <w:tc>
          <w:tcPr>
            <w:tcW w:w="845" w:type="dxa"/>
            <w:vMerge w:val="restart"/>
            <w:vAlign w:val="center"/>
          </w:tcPr>
          <w:p w14:paraId="359C1463"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>
              <w:rPr>
                <w:rFonts w:eastAsia="宋体"/>
                <w:sz w:val="26"/>
                <w:szCs w:val="26"/>
              </w:rPr>
              <w:t>0</w:t>
            </w:r>
          </w:p>
        </w:tc>
      </w:tr>
      <w:tr w14:paraId="6D12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6" w:type="dxa"/>
            <w:vMerge w:val="continue"/>
            <w:vAlign w:val="center"/>
          </w:tcPr>
          <w:p w14:paraId="1CA43B14">
            <w:pPr>
              <w:rPr>
                <w:rFonts w:eastAsia="宋体"/>
                <w:sz w:val="26"/>
                <w:szCs w:val="26"/>
              </w:rPr>
            </w:pPr>
          </w:p>
        </w:tc>
        <w:tc>
          <w:tcPr>
            <w:tcW w:w="5411" w:type="dxa"/>
            <w:vAlign w:val="center"/>
          </w:tcPr>
          <w:p w14:paraId="2A99C6C1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通过教学展示体现教师实际教学的经验，突出以学生为主体，熟练运用生涯教育理论和方法，解决学生生涯发展中的实际问题</w:t>
            </w:r>
          </w:p>
        </w:tc>
        <w:tc>
          <w:tcPr>
            <w:tcW w:w="845" w:type="dxa"/>
            <w:vMerge w:val="continue"/>
            <w:vAlign w:val="center"/>
          </w:tcPr>
          <w:p w14:paraId="4CCDC56B">
            <w:pPr>
              <w:jc w:val="center"/>
              <w:rPr>
                <w:rFonts w:eastAsia="宋体"/>
                <w:sz w:val="26"/>
                <w:szCs w:val="26"/>
              </w:rPr>
            </w:pPr>
          </w:p>
        </w:tc>
      </w:tr>
      <w:tr w14:paraId="5A44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vAlign w:val="center"/>
          </w:tcPr>
          <w:p w14:paraId="3DFAB102"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5411" w:type="dxa"/>
            <w:vAlign w:val="center"/>
          </w:tcPr>
          <w:p w14:paraId="478653CE">
            <w:pPr>
              <w:rPr>
                <w:rFonts w:eastAsia="宋体"/>
                <w:sz w:val="26"/>
                <w:szCs w:val="26"/>
              </w:rPr>
            </w:pPr>
          </w:p>
        </w:tc>
        <w:tc>
          <w:tcPr>
            <w:tcW w:w="845" w:type="dxa"/>
            <w:vAlign w:val="center"/>
          </w:tcPr>
          <w:p w14:paraId="36D30EE6">
            <w:pPr>
              <w:ind w:left="-160" w:leftChars="-50" w:right="-160" w:rightChars="-50"/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 w:eastAsia="宋体"/>
                <w:sz w:val="26"/>
                <w:szCs w:val="26"/>
              </w:rPr>
              <w:t>100</w:t>
            </w:r>
          </w:p>
        </w:tc>
      </w:tr>
    </w:tbl>
    <w:p w14:paraId="3A805F0E">
      <w:pPr>
        <w:spacing w:line="530" w:lineRule="exact"/>
        <w:ind w:firstLine="640" w:firstLineChars="200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七、奖项设置</w:t>
      </w:r>
    </w:p>
    <w:p w14:paraId="22B8A7CC">
      <w:pPr>
        <w:spacing w:line="53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课程教学赛道全国总决赛设金奖、银奖、铜奖、优秀奖等奖项。</w:t>
      </w:r>
    </w:p>
    <w:p w14:paraId="1BB6D1D1">
      <w:pPr>
        <w:spacing w:line="530" w:lineRule="exact"/>
        <w:ind w:firstLine="640" w:firstLineChars="200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八、成果推广</w:t>
      </w:r>
    </w:p>
    <w:p w14:paraId="02A48795">
      <w:pPr>
        <w:widowControl/>
        <w:adjustRightInd/>
        <w:snapToGrid/>
        <w:spacing w:line="530" w:lineRule="exact"/>
        <w:ind w:firstLine="640" w:firstLineChars="200"/>
        <w:jc w:val="left"/>
        <w:outlineLvl w:val="0"/>
        <w:rPr>
          <w:szCs w:val="32"/>
        </w:rPr>
      </w:pPr>
      <w:r>
        <w:rPr>
          <w:rFonts w:hint="eastAsia"/>
          <w:szCs w:val="32"/>
        </w:rPr>
        <w:t>教育部将结合上届及本届课程教学赛道赛事成果，开展全国高校职业发展与就业指导金课培育工作。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B02673-4E14-4ADE-80F2-E222EF6C6A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29E9471-3A39-4914-90F2-8927FFDDE9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7900435-15D4-47DA-A34E-E3892A3EF03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B556A92-64BC-481B-9731-6C94F8F3E8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D02C0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81EF5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2A81EF5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0D819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5A2CD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ECC0E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B42DF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A8C24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062B5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2986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332A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A1C7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Char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Char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5</Pages>
  <Words>2451</Words>
  <Characters>2512</Characters>
  <Lines>18</Lines>
  <Paragraphs>5</Paragraphs>
  <TotalTime>0</TotalTime>
  <ScaleCrop>false</ScaleCrop>
  <LinksUpToDate>false</LinksUpToDate>
  <CharactersWithSpaces>2517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2025-10-21T05:42:00Z</dcterms:created>
  <dc:creator>Dell</dc:creator>
  <cp:lastModifiedBy>zz</cp:lastModifiedBy>
  <cp:lastPrinted>2025-10-13T17:04:00Z</cp:lastPrinted>
  <dcterms:modified xsi:type="dcterms:W3CDTF">2025-10-21T13:10:03Z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8AD4CFEE6D0E45C2AEFC40EC6FF81CE0_13</vt:lpwstr>
  </property>
  <property fmtid="{D5CDD505-2E9C-101B-9397-08002B2CF9AE}" pid="4" name="KSOTemplateDocerSaveRecord">
    <vt:lpwstr>eyJoZGlkIjoiN2Y0ZDFiZWMxMzVkZDkzODZlNjY2NzU5M2VmYjdmNzciLCJ1c2VySWQiOiIyMDczNTE3MzUifQ==</vt:lpwstr>
  </property>
</Properties>
</file>