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2024年湛江市普通高中学校招生计划总表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</w:rPr>
        <w:t>附件1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0850" cy="3914140"/>
            <wp:effectExtent l="0" t="0" r="635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50840" cy="3855720"/>
            <wp:effectExtent l="0" t="0" r="10160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7335" cy="3783330"/>
            <wp:effectExtent l="0" t="0" r="1206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1140" cy="3757295"/>
            <wp:effectExtent l="0" t="0" r="10160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4470" cy="3738245"/>
            <wp:effectExtent l="0" t="0" r="11430" b="825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5575" cy="3703955"/>
            <wp:effectExtent l="0" t="0" r="9525" b="444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2580" cy="3822065"/>
            <wp:effectExtent l="0" t="0" r="7620" b="6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82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1625" cy="3806825"/>
            <wp:effectExtent l="0" t="0" r="3175" b="317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1C391D"/>
    <w:rsid w:val="611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2024-06-11T05:49:00Z</dcterms:created>
  <dc:creator>LandG</dc:creator>
  <cp:lastModifiedBy>LandG</cp:lastModifiedBy>
  <dcterms:modified xsi:type="dcterms:W3CDTF">2024-06-11T05:57:14Z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2052-11.1.0.10526</vt:lpwstr>
  </property>
  <property fmtid="{D5CDD505-2E9C-101B-9397-08002B2CF9AE}" pid="3" name="ICV">
    <vt:lpwstr>B4BDC16F2F614EEDA90D44101931D063</vt:lpwstr>
  </property>
</Properties>
</file>