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7550E">
      <w:pPr>
        <w:pStyle w:val="2"/>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附件3</w:t>
      </w:r>
    </w:p>
    <w:p w14:paraId="65C93D80">
      <w:pPr>
        <w:keepNext w:val="0"/>
        <w:keepLines w:val="0"/>
        <w:widowControl/>
        <w:suppressLineNumbers w:val="0"/>
        <w:jc w:val="center"/>
        <w:rPr>
          <w:rFonts w:hint="default" w:ascii="方正小标宋_GBK" w:hAnsi="方正小标宋_GBK" w:eastAsia="方正小标宋_GBK" w:cs="方正小标宋_GBK"/>
          <w:kern w:val="0"/>
          <w:sz w:val="32"/>
          <w:szCs w:val="32"/>
          <w:lang w:val="en-US" w:eastAsia="zh-CN" w:bidi="ar"/>
        </w:rPr>
      </w:pPr>
      <w:r>
        <w:rPr>
          <w:rFonts w:hint="eastAsia" w:ascii="方正小标宋_GBK" w:hAnsi="方正小标宋_GBK" w:eastAsia="方正小标宋_GBK" w:cs="方正小标宋_GBK"/>
          <w:kern w:val="0"/>
          <w:sz w:val="32"/>
          <w:szCs w:val="32"/>
          <w:lang w:val="en-US" w:eastAsia="zh-CN" w:bidi="ar"/>
        </w:rPr>
        <w:t>永宁县人才住房保障政策</w:t>
      </w:r>
    </w:p>
    <w:p w14:paraId="5BB2583A">
      <w:pPr>
        <w:pStyle w:val="2"/>
        <w:jc w:val="both"/>
        <w:rPr>
          <w:rFonts w:hint="eastAsia" w:ascii="仿宋_GB2312" w:hAnsi="仿宋_GB2312" w:eastAsia="仿宋_GB2312" w:cs="仿宋_GB2312"/>
          <w:b w:val="0"/>
          <w:bCs w:val="0"/>
          <w:color w:val="000000"/>
          <w:sz w:val="24"/>
          <w:szCs w:val="24"/>
          <w:highlight w:val="none"/>
          <w:lang w:val="en-US" w:eastAsia="zh-CN"/>
        </w:rPr>
      </w:pPr>
    </w:p>
    <w:p w14:paraId="695B6A6E">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szCs w:val="24"/>
          <w:highlight w:val="none"/>
          <w:lang w:val="en-US" w:eastAsia="zh-CN"/>
        </w:rPr>
        <w:t>一、保障对象</w:t>
      </w:r>
    </w:p>
    <w:p w14:paraId="1ACF5032">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经认定的银川市高精尖缺人才</w:t>
      </w:r>
    </w:p>
    <w:p w14:paraId="52F5000D">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青年大学生(在永宁县属企业新就业人员或与事业单位签订3年以上劳动合同的非正式在编人员，或在永宁新领取统一社会信用代码的自主创业人员)，同时符合以下条件</w:t>
      </w:r>
      <w:r>
        <w:rPr>
          <w:rFonts w:hint="eastAsia" w:hAnsi="仿宋_GB2312" w:cs="仿宋_GB2312"/>
          <w:b w:val="0"/>
          <w:bCs w:val="0"/>
          <w:color w:val="000000"/>
          <w:sz w:val="24"/>
          <w:szCs w:val="24"/>
          <w:highlight w:val="none"/>
          <w:lang w:val="en-US" w:eastAsia="zh-CN"/>
        </w:rPr>
        <w:t>：</w:t>
      </w:r>
    </w:p>
    <w:p w14:paraId="1B389F8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年龄在35周岁以内且2年内首次来宁在永缴纳职工养老保险的研究生</w:t>
      </w:r>
    </w:p>
    <w:p w14:paraId="490E78AD">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符合永宁县重点产业发展的全日制应届本科毕业生</w:t>
      </w:r>
    </w:p>
    <w:p w14:paraId="4E65201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年龄在30周岁以内且自申报之日起计算2年内首次来宁在永宁县缴纳职工养老保险的双一流”大学、学科的本科毕业生</w:t>
      </w:r>
    </w:p>
    <w:p w14:paraId="1B5DD8A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其他经研究子以保障的人才</w:t>
      </w:r>
    </w:p>
    <w:p w14:paraId="4DAC217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304E7CE8">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szCs w:val="24"/>
          <w:highlight w:val="none"/>
          <w:lang w:val="en-US" w:eastAsia="zh-CN"/>
        </w:rPr>
        <w:t>二、保障方式及标准</w:t>
      </w:r>
    </w:p>
    <w:p w14:paraId="2AA8AA51">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（一）全职引进高精尖缺人才</w:t>
      </w:r>
    </w:p>
    <w:p w14:paraId="5E9E5DDC">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享受“人才公寓+购房补贴”的住房保障政策。暂无购房的全职引进高精尖缺人才可就近申请入住人才公寓，免租金入住2年。2年后仍符合入住条件的，按人才公寓有关标准收取租金。全职引进高精尖缺人才任期内在永宁县购房的可申请购房补贴，补贴标准不高于实际购房金额50%。其中</w:t>
      </w:r>
      <w:r>
        <w:rPr>
          <w:rFonts w:hint="eastAsia" w:hAnsi="仿宋_GB2312" w:cs="仿宋_GB2312"/>
          <w:b w:val="0"/>
          <w:bCs w:val="0"/>
          <w:color w:val="000000"/>
          <w:sz w:val="24"/>
          <w:szCs w:val="24"/>
          <w:highlight w:val="none"/>
          <w:lang w:val="en-US" w:eastAsia="zh-CN"/>
        </w:rPr>
        <w:t>，A、B</w:t>
      </w:r>
      <w:r>
        <w:rPr>
          <w:rFonts w:hint="eastAsia" w:ascii="仿宋_GB2312" w:hAnsi="仿宋_GB2312" w:eastAsia="仿宋_GB2312" w:cs="仿宋_GB2312"/>
          <w:b w:val="0"/>
          <w:bCs w:val="0"/>
          <w:color w:val="000000"/>
          <w:sz w:val="24"/>
          <w:szCs w:val="24"/>
          <w:highlight w:val="none"/>
          <w:lang w:val="en-US" w:eastAsia="zh-CN"/>
        </w:rPr>
        <w:t>类高精</w:t>
      </w:r>
      <w:r>
        <w:rPr>
          <w:rFonts w:hint="eastAsia" w:hAnsi="仿宋_GB2312" w:cs="仿宋_GB2312"/>
          <w:b w:val="0"/>
          <w:bCs w:val="0"/>
          <w:color w:val="000000"/>
          <w:sz w:val="24"/>
          <w:szCs w:val="24"/>
          <w:highlight w:val="none"/>
          <w:lang w:val="en-US" w:eastAsia="zh-CN"/>
        </w:rPr>
        <w:t>尖</w:t>
      </w:r>
      <w:r>
        <w:rPr>
          <w:rFonts w:hint="eastAsia" w:ascii="仿宋_GB2312" w:hAnsi="仿宋_GB2312" w:eastAsia="仿宋_GB2312" w:cs="仿宋_GB2312"/>
          <w:b w:val="0"/>
          <w:bCs w:val="0"/>
          <w:color w:val="000000"/>
          <w:sz w:val="24"/>
          <w:szCs w:val="24"/>
          <w:highlight w:val="none"/>
          <w:lang w:val="en-US" w:eastAsia="zh-CN"/>
        </w:rPr>
        <w:t>缺</w:t>
      </w:r>
      <w:r>
        <w:rPr>
          <w:rFonts w:hint="eastAsia" w:hAnsi="仿宋_GB2312" w:cs="仿宋_GB2312"/>
          <w:b w:val="0"/>
          <w:bCs w:val="0"/>
          <w:color w:val="000000"/>
          <w:sz w:val="24"/>
          <w:szCs w:val="24"/>
          <w:highlight w:val="none"/>
          <w:lang w:val="en-US" w:eastAsia="zh-CN"/>
        </w:rPr>
        <w:t>人才最高补贴20万元；</w:t>
      </w:r>
      <w:r>
        <w:rPr>
          <w:rFonts w:hint="eastAsia" w:ascii="仿宋_GB2312" w:hAnsi="仿宋_GB2312" w:eastAsia="仿宋_GB2312" w:cs="仿宋_GB2312"/>
          <w:b w:val="0"/>
          <w:bCs w:val="0"/>
          <w:color w:val="000000"/>
          <w:sz w:val="24"/>
          <w:szCs w:val="24"/>
          <w:highlight w:val="none"/>
          <w:lang w:val="en-US" w:eastAsia="zh-CN"/>
        </w:rPr>
        <w:t>D类高精尖缺人才最高补贴15万元;E、F类高精尖缺人才最高补贴10万元。</w:t>
      </w:r>
    </w:p>
    <w:p w14:paraId="4572AD2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（二）青年大学生</w:t>
      </w:r>
    </w:p>
    <w:p w14:paraId="35C8E9D7">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hAnsi="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硕士研究生享受青年人才公寓、购房补贴、生活(租房)补贴三选一的住房保障政策。</w:t>
      </w:r>
      <w:r>
        <w:rPr>
          <w:rFonts w:hint="eastAsia" w:ascii="仿宋_GB2312" w:hAnsi="仿宋_GB2312" w:eastAsia="仿宋_GB2312" w:cs="仿宋_GB2312"/>
          <w:b w:val="0"/>
          <w:bCs w:val="0"/>
          <w:color w:val="000000"/>
          <w:sz w:val="24"/>
          <w:szCs w:val="24"/>
          <w:highlight w:val="none"/>
          <w:lang w:val="en-US" w:eastAsia="zh-CN"/>
        </w:rPr>
        <w:t>申请入住青年人才公寓的，可免租金入住3年;在永宁县购房的可申请购房补贴8万元;申请生活(租房)补贴的，补贴标准为1200元/月，最长补贴2年</w:t>
      </w:r>
      <w:r>
        <w:rPr>
          <w:rFonts w:hint="eastAsia" w:hAnsi="仿宋_GB2312" w:cs="仿宋_GB2312"/>
          <w:b w:val="0"/>
          <w:bCs w:val="0"/>
          <w:color w:val="000000"/>
          <w:sz w:val="24"/>
          <w:szCs w:val="24"/>
          <w:highlight w:val="none"/>
          <w:lang w:val="en-US" w:eastAsia="zh-CN"/>
        </w:rPr>
        <w:t>。</w:t>
      </w:r>
    </w:p>
    <w:p w14:paraId="71F30DB1">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全日制本科毕业生享受购房补贴、生活</w:t>
      </w:r>
      <w:r>
        <w:rPr>
          <w:rFonts w:hint="eastAsia" w:hAnsi="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val="en-US" w:eastAsia="zh-CN"/>
        </w:rPr>
        <w:t>租房)补贴二选一的住房保障政策。</w:t>
      </w:r>
      <w:r>
        <w:rPr>
          <w:rFonts w:hint="eastAsia" w:ascii="仿宋_GB2312" w:hAnsi="仿宋_GB2312" w:eastAsia="仿宋_GB2312" w:cs="仿宋_GB2312"/>
          <w:b w:val="0"/>
          <w:bCs w:val="0"/>
          <w:color w:val="000000"/>
          <w:sz w:val="24"/>
          <w:szCs w:val="24"/>
          <w:highlight w:val="none"/>
          <w:lang w:val="en-US" w:eastAsia="zh-CN"/>
        </w:rPr>
        <w:t>在永宁县购房的可申请购房补贴5万元;申请生活(租房)补贴的，补贴标准为800元/月</w:t>
      </w:r>
      <w:r>
        <w:rPr>
          <w:rFonts w:hint="eastAsia" w:hAnsi="仿宋_GB2312" w:cs="仿宋_GB2312"/>
          <w:b w:val="0"/>
          <w:bCs w:val="0"/>
          <w:color w:val="000000"/>
          <w:sz w:val="24"/>
          <w:szCs w:val="24"/>
          <w:highlight w:val="none"/>
          <w:lang w:val="en-US" w:eastAsia="zh-CN"/>
        </w:rPr>
        <w:t>，</w:t>
      </w:r>
      <w:r>
        <w:rPr>
          <w:rFonts w:hint="eastAsia" w:ascii="仿宋_GB2312" w:hAnsi="仿宋_GB2312" w:eastAsia="仿宋_GB2312" w:cs="仿宋_GB2312"/>
          <w:b w:val="0"/>
          <w:bCs w:val="0"/>
          <w:color w:val="000000"/>
          <w:sz w:val="24"/>
          <w:szCs w:val="24"/>
          <w:highlight w:val="none"/>
          <w:lang w:val="en-US" w:eastAsia="zh-CN"/>
        </w:rPr>
        <w:t>最长补贴2年</w:t>
      </w:r>
      <w:r>
        <w:rPr>
          <w:rFonts w:hint="eastAsia" w:hAnsi="仿宋_GB2312" w:cs="仿宋_GB2312"/>
          <w:b w:val="0"/>
          <w:bCs w:val="0"/>
          <w:color w:val="000000"/>
          <w:sz w:val="24"/>
          <w:szCs w:val="24"/>
          <w:highlight w:val="none"/>
          <w:lang w:val="en-US" w:eastAsia="zh-CN"/>
        </w:rPr>
        <w:t>。</w:t>
      </w:r>
    </w:p>
    <w:p w14:paraId="6A7FA87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生活(租房)补贴发放自申报之日起计算，每季度集中发放一次，出现离职等现象，补贴次月停发。申请购房补贴的须在永宁购买商品住房且购房时间为引进之后两年内，且申领后需在永宁县服务满5年，未满服务期限的，购房补贴由用人单位全额追回。购房补贴补贴全额不超过总房价的50%。</w:t>
      </w:r>
    </w:p>
    <w:p w14:paraId="005023AC">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永宁县机关事业单位引进的人才，</w:t>
      </w:r>
      <w:r>
        <w:rPr>
          <w:rFonts w:hint="eastAsia" w:ascii="仿宋_GB2312" w:hAnsi="仿宋_GB2312" w:eastAsia="仿宋_GB2312" w:cs="仿宋_GB2312"/>
          <w:b w:val="0"/>
          <w:bCs w:val="0"/>
          <w:color w:val="000000"/>
          <w:sz w:val="24"/>
          <w:szCs w:val="24"/>
          <w:highlight w:val="none"/>
          <w:lang w:val="en-US" w:eastAsia="zh-CN"/>
        </w:rPr>
        <w:t>本人、配偶在永宁县没有住房的，可申请公租房。其中，全日制硕士研究生及以上学历的，可申请免租金入住，入住时间最长一般为3年。到永宁县挂职的干部或参加社会实践的大学生，可申请免租金入住;教育、卫生等领域引进的具有高级职称或执业资格的专业人才，或高精尖人才、学科带头人可申请免租全入住</w:t>
      </w:r>
      <w:r>
        <w:rPr>
          <w:rFonts w:hint="eastAsia" w:hAnsi="仿宋_GB2312" w:cs="仿宋_GB2312"/>
          <w:b w:val="0"/>
          <w:bCs w:val="0"/>
          <w:color w:val="000000"/>
          <w:sz w:val="24"/>
          <w:szCs w:val="24"/>
          <w:highlight w:val="none"/>
          <w:lang w:val="en-US" w:eastAsia="zh-CN"/>
        </w:rPr>
        <w:t>。</w:t>
      </w:r>
    </w:p>
    <w:p w14:paraId="63AF1B20">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永宁县重点招商引资企业负责人，</w:t>
      </w:r>
      <w:r>
        <w:rPr>
          <w:rFonts w:hint="eastAsia" w:ascii="仿宋_GB2312" w:hAnsi="仿宋_GB2312" w:eastAsia="仿宋_GB2312" w:cs="仿宋_GB2312"/>
          <w:b w:val="0"/>
          <w:bCs w:val="0"/>
          <w:color w:val="000000"/>
          <w:sz w:val="24"/>
          <w:szCs w:val="24"/>
          <w:highlight w:val="none"/>
          <w:lang w:val="en-US" w:eastAsia="zh-CN"/>
        </w:rPr>
        <w:t>可提供最长6个月免租金入住人才公寓</w:t>
      </w:r>
      <w:r>
        <w:rPr>
          <w:rFonts w:hint="eastAsia" w:hAnsi="仿宋_GB2312" w:cs="仿宋_GB2312"/>
          <w:b w:val="0"/>
          <w:bCs w:val="0"/>
          <w:color w:val="000000"/>
          <w:sz w:val="24"/>
          <w:szCs w:val="24"/>
          <w:highlight w:val="none"/>
          <w:lang w:val="en-US" w:eastAsia="zh-CN"/>
        </w:rPr>
        <w:t>。</w:t>
      </w:r>
    </w:p>
    <w:p w14:paraId="52FDBC2A">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申请入住人才公寓、公租房的，入住期间所产生的物业费、电梯费、水费、电费、暖气费、燃气费、网络费等费用由本人自行承担。</w:t>
      </w:r>
    </w:p>
    <w:p w14:paraId="1254F6DB">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2677082B">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szCs w:val="24"/>
          <w:highlight w:val="none"/>
          <w:lang w:val="en-US" w:eastAsia="zh-CN"/>
        </w:rPr>
        <w:t>办理程序</w:t>
      </w:r>
    </w:p>
    <w:p w14:paraId="7A5FA956">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1.高精尖缺人才申请人才公寓、购房补贴流程</w:t>
      </w:r>
    </w:p>
    <w:p w14:paraId="584668B6">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drawing>
          <wp:inline distT="0" distB="0" distL="114300" distR="114300">
            <wp:extent cx="4883785" cy="978535"/>
            <wp:effectExtent l="0" t="0" r="5715" b="418465"/>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D459852">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所需材料</w:t>
      </w:r>
    </w:p>
    <w:p w14:paraId="399C2267">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《永宁县高精尖缺人才住房保障申请表》一式2份;</w:t>
      </w:r>
    </w:p>
    <w:p w14:paraId="46AAB885">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高精尖缺人才认定相关证明材料;</w:t>
      </w:r>
    </w:p>
    <w:p w14:paraId="69FF9BF8">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申请人及配偶、未成年子女在银川市无房证明(申请人才公寓提供);申请</w:t>
      </w:r>
    </w:p>
    <w:p w14:paraId="0645049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人已购住房合同(申请购房补贴提供)购房补贴发放协议书(申请购房补贴提</w:t>
      </w:r>
    </w:p>
    <w:p w14:paraId="51FAE07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供);</w:t>
      </w:r>
    </w:p>
    <w:p w14:paraId="0EE9C40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2.青年大学生申请人才公寓、购房补贴、</w:t>
      </w:r>
      <w:r>
        <w:rPr>
          <w:rFonts w:hint="eastAsia" w:ascii="仿宋_GB2312" w:hAnsi="仿宋_GB2312" w:eastAsia="仿宋_GB2312" w:cs="仿宋_GB2312"/>
          <w:b w:val="0"/>
          <w:bCs w:val="0"/>
          <w:color w:val="000000"/>
          <w:sz w:val="24"/>
          <w:szCs w:val="24"/>
          <w:highlight w:val="none"/>
          <w:lang w:val="en-US" w:eastAsia="zh-CN"/>
        </w:rPr>
        <w:t>生活(租房)补贴流程</w:t>
      </w:r>
    </w:p>
    <w:p w14:paraId="1F18565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51F0100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drawing>
          <wp:inline distT="0" distB="0" distL="114300" distR="114300">
            <wp:extent cx="4883785" cy="1156335"/>
            <wp:effectExtent l="0" t="0" r="5715" b="329565"/>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78F430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所需材料</w:t>
      </w:r>
    </w:p>
    <w:p w14:paraId="77D1545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《永宁县青年大学生住房保障申请表》，一式2份;</w:t>
      </w:r>
    </w:p>
    <w:p w14:paraId="46DA08D5">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本人有效身份证、毕业证书、学位证书及学信网学籍证明:</w:t>
      </w:r>
    </w:p>
    <w:p w14:paraId="32CC0AD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与用人单位签订的就业劳动合同、企业营业执照、工资薪酬发放银行</w:t>
      </w:r>
    </w:p>
    <w:p w14:paraId="0C449A3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流水;在永宁县自主创业的大学生需提供统一社会信用代码证和企业纳税证</w:t>
      </w:r>
    </w:p>
    <w:p w14:paraId="780819E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明。</w:t>
      </w:r>
    </w:p>
    <w:p w14:paraId="12385A41">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（4）</w:t>
      </w:r>
      <w:r>
        <w:rPr>
          <w:rFonts w:hint="eastAsia" w:ascii="仿宋_GB2312" w:hAnsi="仿宋_GB2312" w:eastAsia="仿宋_GB2312" w:cs="仿宋_GB2312"/>
          <w:b w:val="0"/>
          <w:bCs w:val="0"/>
          <w:color w:val="000000"/>
          <w:sz w:val="24"/>
          <w:szCs w:val="24"/>
          <w:highlight w:val="none"/>
          <w:lang w:val="en-US" w:eastAsia="zh-CN"/>
        </w:rPr>
        <w:t>申请青年人才公寓的还需提供本人及配偶、未成年子女在银川市无房证</w:t>
      </w:r>
    </w:p>
    <w:p w14:paraId="04F35E6C">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明;申请购房补贴的还需提供已购住房合同或房产证，已婚且房产在配偶名下</w:t>
      </w:r>
    </w:p>
    <w:p w14:paraId="6DA6DD8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的需提供结婚证(房产需为夫妻婚后共同财产)</w:t>
      </w:r>
    </w:p>
    <w:p w14:paraId="652FF87C">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3.机关事业单位引进人才申请公租房</w:t>
      </w:r>
    </w:p>
    <w:p w14:paraId="163F4B6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由县住建局按照《永宁县公共租赁住房管理实施办法》执行。符合免租入住的青年人才，填写《永宁县青年大学生住房保障申请表》，由县委人才办商住建局审核办理</w:t>
      </w:r>
    </w:p>
    <w:p w14:paraId="0FC76BA7">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041B7B65">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咨询电话:</w:t>
      </w:r>
    </w:p>
    <w:p w14:paraId="4A053EF0">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永宁县委人才办 0951-8481183</w:t>
      </w:r>
    </w:p>
    <w:p w14:paraId="0DF49C0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p>
    <w:p w14:paraId="4B4503DC">
      <w:bookmarkStart w:id="0" w:name="_GoBack"/>
      <w:bookmarkEnd w:id="0"/>
    </w:p>
    <w:sectPr>
      <w:footerReference r:id="rId3" w:type="default"/>
      <w:pgSz w:w="11906" w:h="16838"/>
      <w:pgMar w:top="1100" w:right="1800" w:bottom="110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B59BAE-9769-4521-864C-BF098C8EC8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55CDD9-BA22-4286-9E1A-E402A426E265}"/>
  </w:font>
  <w:font w:name="仿宋_GB2312">
    <w:panose1 w:val="02010609030101010101"/>
    <w:charset w:val="86"/>
    <w:family w:val="modern"/>
    <w:pitch w:val="default"/>
    <w:sig w:usb0="00000001" w:usb1="080E0000" w:usb2="00000000" w:usb3="00000000" w:csb0="00040000" w:csb1="00000000"/>
    <w:embedRegular r:id="rId3" w:fontKey="{EC3CDF2A-035E-4497-ADBC-3BC7CB30E3C0}"/>
  </w:font>
  <w:font w:name="方正小标宋_GBK">
    <w:panose1 w:val="02000000000000000000"/>
    <w:charset w:val="86"/>
    <w:family w:val="auto"/>
    <w:pitch w:val="default"/>
    <w:sig w:usb0="A00002BF" w:usb1="38CF7CFA" w:usb2="00082016" w:usb3="00000000" w:csb0="00040001" w:csb1="00000000"/>
    <w:embedRegular r:id="rId4" w:fontKey="{ED5B49A6-6A50-4087-A1C2-B68B4AEBB9E6}"/>
  </w:font>
  <w:font w:name="楷体_GB2312">
    <w:panose1 w:val="02010609030101010101"/>
    <w:charset w:val="86"/>
    <w:family w:val="auto"/>
    <w:pitch w:val="default"/>
    <w:sig w:usb0="00000001" w:usb1="080E0000" w:usb2="00000000" w:usb3="00000000" w:csb0="00040000" w:csb1="00000000"/>
    <w:embedRegular r:id="rId5" w:fontKey="{3718D238-A26A-4253-B3F6-49455C2BD4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465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3DA25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B3DA25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D4E2A"/>
    <w:rsid w:val="316D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microsoft.com/office/2007/relationships/diagramDrawing" Target="diagrams/drawing2.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EB1D179-D23D-41D4-AEEF-E4B9FEB06903}" type="doc">
      <dgm:prSet loTypeId="urn:microsoft.com/office/officeart/2005/8/layout/process1" loCatId="process" qsTypeId="urn:microsoft.com/office/officeart/2005/8/quickstyle/simple4" qsCatId="simple" csTypeId="urn:microsoft.com/office/officeart/2005/8/colors/accent1_2" csCatId="accent1" phldr="0"/>
      <dgm:spPr/>
    </dgm:pt>
    <dgm:pt modelId="{3F25DA44-7F3E-4C17-A40B-7F663FDBEA65}">
      <dgm:prSet phldrT="[文本]" phldr="0" custT="0"/>
      <dgm:spPr/>
      <dgm:t>
        <a:bodyPr vert="horz" wrap="square"/>
        <a:p>
          <a:pPr>
            <a:lnSpc>
              <a:spcPct val="100000"/>
            </a:lnSpc>
            <a:spcBef>
              <a:spcPct val="0"/>
            </a:spcBef>
            <a:spcAft>
              <a:spcPct val="35000"/>
            </a:spcAft>
          </a:pPr>
          <a:r>
            <a:rPr lang="zh-CN" altLang="en-US"/>
            <a:t>个人</a:t>
          </a:r>
          <a:r>
            <a:rPr lang="zh-CN" altLang="en-US"/>
            <a:t>申请</a:t>
          </a:r>
          <a:r>
            <a:rPr lang="zh-CN" altLang="en-US"/>
            <a:t/>
          </a:r>
          <a:endParaRPr lang="zh-CN" altLang="en-US"/>
        </a:p>
      </dgm:t>
    </dgm:pt>
    <dgm:pt modelId="{EE9066D1-3403-4469-8E8C-0D40A82430F2}" cxnId="{484AC03F-7B73-4C93-A430-42704D3BBCFB}" type="parTrans">
      <dgm:prSet/>
      <dgm:spPr/>
    </dgm:pt>
    <dgm:pt modelId="{8EC5AF5E-9C9F-410A-A755-A3EA5186F948}" cxnId="{484AC03F-7B73-4C93-A430-42704D3BBCFB}" type="sibTrans">
      <dgm:prSet/>
      <dgm:spPr/>
      <dgm:t>
        <a:bodyPr/>
        <a:p>
          <a:endParaRPr lang="zh-CN" altLang="en-US"/>
        </a:p>
      </dgm:t>
    </dgm:pt>
    <dgm:pt modelId="{2E2F4D3A-969C-4DB2-9FA9-5C4A40369351}">
      <dgm:prSet phldrT="[文本]" phldr="0" custT="0"/>
      <dgm:spPr/>
      <dgm:t>
        <a:bodyPr vert="horz" wrap="square"/>
        <a:p>
          <a:pPr algn="ctr">
            <a:lnSpc>
              <a:spcPct val="100000"/>
            </a:lnSpc>
            <a:spcBef>
              <a:spcPct val="0"/>
            </a:spcBef>
            <a:spcAft>
              <a:spcPct val="35000"/>
            </a:spcAft>
          </a:pPr>
          <a:r>
            <a:rPr lang="zh-CN" altLang="en-US"/>
            <a:t>单位</a:t>
          </a:r>
          <a:r>
            <a:rPr lang="zh-CN" altLang="en-US"/>
            <a:t>初审</a:t>
          </a:r>
          <a:r>
            <a:rPr lang="zh-CN" altLang="en-US"/>
            <a:t/>
          </a:r>
          <a:endParaRPr lang="zh-CN" altLang="en-US"/>
        </a:p>
      </dgm:t>
    </dgm:pt>
    <dgm:pt modelId="{1E934BFE-4D40-486C-8784-F698A10C4CF5}" cxnId="{7656DD05-4DE2-461A-B58C-257D5B9C76C8}" type="parTrans">
      <dgm:prSet/>
      <dgm:spPr/>
    </dgm:pt>
    <dgm:pt modelId="{EC1AFF77-9232-4EEB-95CB-85CEAB3B1FC0}" cxnId="{7656DD05-4DE2-461A-B58C-257D5B9C76C8}" type="sibTrans">
      <dgm:prSet/>
      <dgm:spPr/>
      <dgm:t>
        <a:bodyPr/>
        <a:p>
          <a:endParaRPr lang="zh-CN" altLang="en-US"/>
        </a:p>
      </dgm:t>
    </dgm:pt>
    <dgm:pt modelId="{37B86CFA-59B5-46FA-8A6B-9FB187CE14DF}">
      <dgm:prSet phldrT="[文本]" phldr="0" custT="0"/>
      <dgm:spPr/>
      <dgm:t>
        <a:bodyPr vert="horz" wrap="square"/>
        <a:p>
          <a:pPr>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r>
            <a:rPr lang="zh-CN" altLang="en-US"/>
            <a:t/>
          </a:r>
          <a:endParaRPr lang="zh-CN" altLang="en-US"/>
        </a:p>
      </dgm:t>
    </dgm:pt>
    <dgm:pt modelId="{9DABF4F3-A9E6-40B1-A863-AC9409CC14BB}" cxnId="{B0BC1812-6360-4C73-88EE-A4E6B7299E3B}" type="parTrans">
      <dgm:prSet/>
      <dgm:spPr/>
    </dgm:pt>
    <dgm:pt modelId="{18EFF3C3-47F9-402B-A3F3-E9310EA281B4}" cxnId="{B0BC1812-6360-4C73-88EE-A4E6B7299E3B}" type="sibTrans">
      <dgm:prSet/>
      <dgm:spPr/>
    </dgm:pt>
    <dgm:pt modelId="{BF708676-7EFC-4C81-9D3A-3E677EAC1C7B}" type="pres">
      <dgm:prSet presAssocID="{8EB1D179-D23D-41D4-AEEF-E4B9FEB06903}" presName="Name0" presStyleCnt="0">
        <dgm:presLayoutVars>
          <dgm:dir/>
          <dgm:resizeHandles val="exact"/>
        </dgm:presLayoutVars>
      </dgm:prSet>
      <dgm:spPr/>
    </dgm:pt>
    <dgm:pt modelId="{111DEAC9-5D4C-4A6A-A44E-082A26F60596}" type="pres">
      <dgm:prSet presAssocID="{3F25DA44-7F3E-4C17-A40B-7F663FDBEA65}" presName="node" presStyleLbl="node1" presStyleIdx="0" presStyleCnt="3">
        <dgm:presLayoutVars>
          <dgm:bulletEnabled val="1"/>
        </dgm:presLayoutVars>
      </dgm:prSet>
      <dgm:spPr/>
    </dgm:pt>
    <dgm:pt modelId="{8A5CF0CE-3323-464D-9C63-05C1BDB053F5}" type="pres">
      <dgm:prSet presAssocID="{8EC5AF5E-9C9F-410A-A755-A3EA5186F948}" presName="sibTrans" presStyleLbl="sibTrans2D1" presStyleIdx="0" presStyleCnt="2"/>
      <dgm:spPr/>
    </dgm:pt>
    <dgm:pt modelId="{5FA465F6-7607-499F-BFB2-52F4E071FB67}" type="pres">
      <dgm:prSet presAssocID="{8EC5AF5E-9C9F-410A-A755-A3EA5186F948}" presName="connectorText" presStyleCnt="0"/>
      <dgm:spPr/>
    </dgm:pt>
    <dgm:pt modelId="{552FB8E7-A5FB-4CC3-94C3-CE0BDF19F9F1}" type="pres">
      <dgm:prSet presAssocID="{2E2F4D3A-969C-4DB2-9FA9-5C4A40369351}" presName="node" presStyleLbl="node1" presStyleIdx="1" presStyleCnt="3">
        <dgm:presLayoutVars>
          <dgm:bulletEnabled val="1"/>
        </dgm:presLayoutVars>
      </dgm:prSet>
      <dgm:spPr/>
    </dgm:pt>
    <dgm:pt modelId="{353C3794-50AA-4D44-83C9-CE28317C3317}" type="pres">
      <dgm:prSet presAssocID="{EC1AFF77-9232-4EEB-95CB-85CEAB3B1FC0}" presName="sibTrans" presStyleLbl="sibTrans2D1" presStyleIdx="1" presStyleCnt="2"/>
      <dgm:spPr/>
    </dgm:pt>
    <dgm:pt modelId="{5AFF040D-0639-4120-9E39-DA822CF9F321}" type="pres">
      <dgm:prSet presAssocID="{EC1AFF77-9232-4EEB-95CB-85CEAB3B1FC0}" presName="connectorText" presStyleCnt="0"/>
      <dgm:spPr/>
    </dgm:pt>
    <dgm:pt modelId="{A1E15D63-E1FF-4A28-A04F-A2B65927BC31}" type="pres">
      <dgm:prSet presAssocID="{37B86CFA-59B5-46FA-8A6B-9FB187CE14DF}" presName="node" presStyleLbl="node1" presStyleIdx="2" presStyleCnt="3">
        <dgm:presLayoutVars>
          <dgm:bulletEnabled val="1"/>
        </dgm:presLayoutVars>
      </dgm:prSet>
      <dgm:spPr/>
    </dgm:pt>
  </dgm:ptLst>
  <dgm:cxnLst>
    <dgm:cxn modelId="{484AC03F-7B73-4C93-A430-42704D3BBCFB}" srcId="{8EB1D179-D23D-41D4-AEEF-E4B9FEB06903}" destId="{3F25DA44-7F3E-4C17-A40B-7F663FDBEA65}" srcOrd="0" destOrd="0" parTransId="{EE9066D1-3403-4469-8E8C-0D40A82430F2}" sibTransId="{8EC5AF5E-9C9F-410A-A755-A3EA5186F948}"/>
    <dgm:cxn modelId="{7656DD05-4DE2-461A-B58C-257D5B9C76C8}" srcId="{8EB1D179-D23D-41D4-AEEF-E4B9FEB06903}" destId="{2E2F4D3A-969C-4DB2-9FA9-5C4A40369351}" srcOrd="1" destOrd="0" parTransId="{1E934BFE-4D40-486C-8784-F698A10C4CF5}" sibTransId="{EC1AFF77-9232-4EEB-95CB-85CEAB3B1FC0}"/>
    <dgm:cxn modelId="{B0BC1812-6360-4C73-88EE-A4E6B7299E3B}" srcId="{8EB1D179-D23D-41D4-AEEF-E4B9FEB06903}" destId="{37B86CFA-59B5-46FA-8A6B-9FB187CE14DF}" srcOrd="2" destOrd="0" parTransId="{9DABF4F3-A9E6-40B1-A863-AC9409CC14BB}" sibTransId="{18EFF3C3-47F9-402B-A3F3-E9310EA281B4}"/>
    <dgm:cxn modelId="{10AAECA1-13DD-4F7C-A0A3-DB6FABA519FB}" type="presOf" srcId="{8EB1D179-D23D-41D4-AEEF-E4B9FEB06903}" destId="{BF708676-7EFC-4C81-9D3A-3E677EAC1C7B}" srcOrd="0" destOrd="0" presId="urn:microsoft.com/office/officeart/2005/8/layout/process1"/>
    <dgm:cxn modelId="{7F8186CA-9AB2-4277-8BD2-34E984428D63}" type="presParOf" srcId="{BF708676-7EFC-4C81-9D3A-3E677EAC1C7B}" destId="{111DEAC9-5D4C-4A6A-A44E-082A26F60596}" srcOrd="0" destOrd="0" presId="urn:microsoft.com/office/officeart/2005/8/layout/process1"/>
    <dgm:cxn modelId="{97E4FF57-D9E2-47E3-95E4-B64E7BA8F75F}" type="presOf" srcId="{3F25DA44-7F3E-4C17-A40B-7F663FDBEA65}" destId="{111DEAC9-5D4C-4A6A-A44E-082A26F60596}" srcOrd="0" destOrd="0" presId="urn:microsoft.com/office/officeart/2005/8/layout/process1"/>
    <dgm:cxn modelId="{1BC2754A-7C37-43C1-A843-385C573D59F8}" type="presParOf" srcId="{BF708676-7EFC-4C81-9D3A-3E677EAC1C7B}" destId="{8A5CF0CE-3323-464D-9C63-05C1BDB053F5}" srcOrd="1" destOrd="0" presId="urn:microsoft.com/office/officeart/2005/8/layout/process1"/>
    <dgm:cxn modelId="{CB160FE3-CA68-431B-917E-E47EC31DCEFA}" type="presOf" srcId="{8EC5AF5E-9C9F-410A-A755-A3EA5186F948}" destId="{8A5CF0CE-3323-464D-9C63-05C1BDB053F5}" srcOrd="0" destOrd="0" presId="urn:microsoft.com/office/officeart/2005/8/layout/process1"/>
    <dgm:cxn modelId="{E08DF9C4-9473-4BF6-B8CD-519AF0E3F6DA}" type="presParOf" srcId="{8A5CF0CE-3323-464D-9C63-05C1BDB053F5}" destId="{5FA465F6-7607-499F-BFB2-52F4E071FB67}" srcOrd="0" destOrd="1" presId="urn:microsoft.com/office/officeart/2005/8/layout/process1"/>
    <dgm:cxn modelId="{D7FDD7AB-4581-4C84-B0B1-9689155DFD92}" type="presOf" srcId="{8EC5AF5E-9C9F-410A-A755-A3EA5186F948}" destId="{5FA465F6-7607-499F-BFB2-52F4E071FB67}" srcOrd="1" destOrd="0" presId="urn:microsoft.com/office/officeart/2005/8/layout/process1"/>
    <dgm:cxn modelId="{74240CE1-0DE4-4CB1-8364-4417317F8219}" type="presParOf" srcId="{BF708676-7EFC-4C81-9D3A-3E677EAC1C7B}" destId="{552FB8E7-A5FB-4CC3-94C3-CE0BDF19F9F1}" srcOrd="2" destOrd="0" presId="urn:microsoft.com/office/officeart/2005/8/layout/process1"/>
    <dgm:cxn modelId="{BD6B73B8-6875-4C86-9F8E-1967125F85C1}" type="presOf" srcId="{2E2F4D3A-969C-4DB2-9FA9-5C4A40369351}" destId="{552FB8E7-A5FB-4CC3-94C3-CE0BDF19F9F1}" srcOrd="0" destOrd="0" presId="urn:microsoft.com/office/officeart/2005/8/layout/process1"/>
    <dgm:cxn modelId="{E588DC0B-C0DF-498A-A946-C4EA084F2D26}" type="presParOf" srcId="{BF708676-7EFC-4C81-9D3A-3E677EAC1C7B}" destId="{353C3794-50AA-4D44-83C9-CE28317C3317}" srcOrd="3" destOrd="0" presId="urn:microsoft.com/office/officeart/2005/8/layout/process1"/>
    <dgm:cxn modelId="{DAF4F1B7-BB1D-4A22-8DD8-37B9288F2E5F}" type="presOf" srcId="{EC1AFF77-9232-4EEB-95CB-85CEAB3B1FC0}" destId="{353C3794-50AA-4D44-83C9-CE28317C3317}" srcOrd="0" destOrd="0" presId="urn:microsoft.com/office/officeart/2005/8/layout/process1"/>
    <dgm:cxn modelId="{730BF153-8800-49EE-899B-6A3F79D8DCB6}" type="presParOf" srcId="{353C3794-50AA-4D44-83C9-CE28317C3317}" destId="{5AFF040D-0639-4120-9E39-DA822CF9F321}" srcOrd="0" destOrd="3" presId="urn:microsoft.com/office/officeart/2005/8/layout/process1"/>
    <dgm:cxn modelId="{D89C61AD-90BB-4892-A745-0563ACF03654}" type="presOf" srcId="{EC1AFF77-9232-4EEB-95CB-85CEAB3B1FC0}" destId="{5AFF040D-0639-4120-9E39-DA822CF9F321}" srcOrd="1" destOrd="0" presId="urn:microsoft.com/office/officeart/2005/8/layout/process1"/>
    <dgm:cxn modelId="{AC6B5F95-9CBE-456B-8ECB-C10DAC84AE74}" type="presParOf" srcId="{BF708676-7EFC-4C81-9D3A-3E677EAC1C7B}" destId="{A1E15D63-E1FF-4A28-A04F-A2B65927BC31}" srcOrd="4" destOrd="0" presId="urn:microsoft.com/office/officeart/2005/8/layout/process1"/>
    <dgm:cxn modelId="{3427DE0A-F15D-42FB-BBC0-789F51F03F1E}" type="presOf" srcId="{37B86CFA-59B5-46FA-8A6B-9FB187CE14DF}" destId="{A1E15D63-E1FF-4A28-A04F-A2B65927BC31}" srcOrd="0"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B1D179-D23D-41D4-AEEF-E4B9FEB06903}" type="doc">
      <dgm:prSet loTypeId="urn:microsoft.com/office/officeart/2005/8/layout/process1" loCatId="process" qsTypeId="urn:microsoft.com/office/officeart/2005/8/quickstyle/simple4" qsCatId="simple" csTypeId="urn:microsoft.com/office/officeart/2005/8/colors/accent1_2" csCatId="accent1" phldr="0"/>
      <dgm:spPr/>
    </dgm:pt>
    <dgm:pt modelId="{3F25DA44-7F3E-4C17-A40B-7F663FDBEA65}">
      <dgm:prSet phldrT="[文本]" phldr="0" custT="0"/>
      <dgm:spPr/>
      <dgm:t>
        <a:bodyPr vert="horz" wrap="square"/>
        <a:p>
          <a:pPr>
            <a:lnSpc>
              <a:spcPct val="100000"/>
            </a:lnSpc>
            <a:spcBef>
              <a:spcPct val="0"/>
            </a:spcBef>
            <a:spcAft>
              <a:spcPct val="35000"/>
            </a:spcAft>
          </a:pPr>
          <a:r>
            <a:rPr lang="zh-CN" altLang="en-US"/>
            <a:t>个人</a:t>
          </a:r>
          <a:r>
            <a:rPr lang="zh-CN" altLang="en-US"/>
            <a:t>申请</a:t>
          </a:r>
          <a:r>
            <a:rPr lang="zh-CN" altLang="en-US"/>
            <a:t/>
          </a:r>
          <a:endParaRPr lang="zh-CN" altLang="en-US"/>
        </a:p>
      </dgm:t>
    </dgm:pt>
    <dgm:pt modelId="{EE9066D1-3403-4469-8E8C-0D40A82430F2}" cxnId="{484AC03F-7B73-4C93-A430-42704D3BBCFB}" type="parTrans">
      <dgm:prSet/>
      <dgm:spPr/>
    </dgm:pt>
    <dgm:pt modelId="{8EC5AF5E-9C9F-410A-A755-A3EA5186F948}" cxnId="{484AC03F-7B73-4C93-A430-42704D3BBCFB}" type="sibTrans">
      <dgm:prSet/>
      <dgm:spPr/>
      <dgm:t>
        <a:bodyPr/>
        <a:p>
          <a:endParaRPr lang="zh-CN" altLang="en-US"/>
        </a:p>
      </dgm:t>
    </dgm:pt>
    <dgm:pt modelId="{2E2F4D3A-969C-4DB2-9FA9-5C4A40369351}">
      <dgm:prSet phldrT="[文本]" phldr="0" custT="0"/>
      <dgm:spPr/>
      <dgm:t>
        <a:bodyPr vert="horz" wrap="square"/>
        <a:p>
          <a:pPr algn="ctr">
            <a:lnSpc>
              <a:spcPct val="100000"/>
            </a:lnSpc>
            <a:spcBef>
              <a:spcPct val="0"/>
            </a:spcBef>
            <a:spcAft>
              <a:spcPct val="35000"/>
            </a:spcAft>
          </a:pPr>
          <a:r>
            <a:rPr lang="zh-CN" altLang="en-US"/>
            <a:t>单位</a:t>
          </a:r>
          <a:r>
            <a:rPr lang="zh-CN" altLang="en-US"/>
            <a:t>初审</a:t>
          </a:r>
          <a:r>
            <a:rPr lang="zh-CN" altLang="en-US"/>
            <a:t/>
          </a:r>
          <a:endParaRPr lang="zh-CN" altLang="en-US"/>
        </a:p>
      </dgm:t>
    </dgm:pt>
    <dgm:pt modelId="{1E934BFE-4D40-486C-8784-F698A10C4CF5}" cxnId="{7656DD05-4DE2-461A-B58C-257D5B9C76C8}" type="parTrans">
      <dgm:prSet/>
      <dgm:spPr/>
    </dgm:pt>
    <dgm:pt modelId="{EC1AFF77-9232-4EEB-95CB-85CEAB3B1FC0}" cxnId="{7656DD05-4DE2-461A-B58C-257D5B9C76C8}" type="sibTrans">
      <dgm:prSet/>
      <dgm:spPr/>
      <dgm:t>
        <a:bodyPr/>
        <a:p>
          <a:endParaRPr lang="zh-CN" altLang="en-US"/>
        </a:p>
      </dgm:t>
    </dgm:pt>
    <dgm:pt modelId="{37B86CFA-59B5-46FA-8A6B-9FB187CE14DF}">
      <dgm:prSet phldrT="[文本]" phldr="0" custT="0"/>
      <dgm:spPr/>
      <dgm:t>
        <a:bodyPr vert="horz" wrap="square"/>
        <a:p>
          <a:pPr>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r>
            <a:rPr lang="zh-CN" altLang="en-US"/>
            <a:t/>
          </a:r>
          <a:endParaRPr lang="zh-CN" altLang="en-US"/>
        </a:p>
      </dgm:t>
    </dgm:pt>
    <dgm:pt modelId="{9DABF4F3-A9E6-40B1-A863-AC9409CC14BB}" cxnId="{B0BC1812-6360-4C73-88EE-A4E6B7299E3B}" type="parTrans">
      <dgm:prSet/>
      <dgm:spPr/>
    </dgm:pt>
    <dgm:pt modelId="{18EFF3C3-47F9-402B-A3F3-E9310EA281B4}" cxnId="{B0BC1812-6360-4C73-88EE-A4E6B7299E3B}" type="sibTrans">
      <dgm:prSet/>
      <dgm:spPr/>
    </dgm:pt>
    <dgm:pt modelId="{BF708676-7EFC-4C81-9D3A-3E677EAC1C7B}" type="pres">
      <dgm:prSet presAssocID="{8EB1D179-D23D-41D4-AEEF-E4B9FEB06903}" presName="Name0" presStyleCnt="0">
        <dgm:presLayoutVars>
          <dgm:dir/>
          <dgm:resizeHandles val="exact"/>
        </dgm:presLayoutVars>
      </dgm:prSet>
      <dgm:spPr/>
    </dgm:pt>
    <dgm:pt modelId="{111DEAC9-5D4C-4A6A-A44E-082A26F60596}" type="pres">
      <dgm:prSet presAssocID="{3F25DA44-7F3E-4C17-A40B-7F663FDBEA65}" presName="node" presStyleLbl="node1" presStyleIdx="0" presStyleCnt="3">
        <dgm:presLayoutVars>
          <dgm:bulletEnabled val="1"/>
        </dgm:presLayoutVars>
      </dgm:prSet>
      <dgm:spPr/>
    </dgm:pt>
    <dgm:pt modelId="{8A5CF0CE-3323-464D-9C63-05C1BDB053F5}" type="pres">
      <dgm:prSet presAssocID="{8EC5AF5E-9C9F-410A-A755-A3EA5186F948}" presName="sibTrans" presStyleLbl="sibTrans2D1" presStyleIdx="0" presStyleCnt="2"/>
      <dgm:spPr/>
    </dgm:pt>
    <dgm:pt modelId="{5FA465F6-7607-499F-BFB2-52F4E071FB67}" type="pres">
      <dgm:prSet presAssocID="{8EC5AF5E-9C9F-410A-A755-A3EA5186F948}" presName="connectorText" presStyleCnt="0"/>
      <dgm:spPr/>
    </dgm:pt>
    <dgm:pt modelId="{552FB8E7-A5FB-4CC3-94C3-CE0BDF19F9F1}" type="pres">
      <dgm:prSet presAssocID="{2E2F4D3A-969C-4DB2-9FA9-5C4A40369351}" presName="node" presStyleLbl="node1" presStyleIdx="1" presStyleCnt="3">
        <dgm:presLayoutVars>
          <dgm:bulletEnabled val="1"/>
        </dgm:presLayoutVars>
      </dgm:prSet>
      <dgm:spPr/>
    </dgm:pt>
    <dgm:pt modelId="{353C3794-50AA-4D44-83C9-CE28317C3317}" type="pres">
      <dgm:prSet presAssocID="{EC1AFF77-9232-4EEB-95CB-85CEAB3B1FC0}" presName="sibTrans" presStyleLbl="sibTrans2D1" presStyleIdx="1" presStyleCnt="2"/>
      <dgm:spPr/>
    </dgm:pt>
    <dgm:pt modelId="{5AFF040D-0639-4120-9E39-DA822CF9F321}" type="pres">
      <dgm:prSet presAssocID="{EC1AFF77-9232-4EEB-95CB-85CEAB3B1FC0}" presName="connectorText" presStyleCnt="0"/>
      <dgm:spPr/>
    </dgm:pt>
    <dgm:pt modelId="{A1E15D63-E1FF-4A28-A04F-A2B65927BC31}" type="pres">
      <dgm:prSet presAssocID="{37B86CFA-59B5-46FA-8A6B-9FB187CE14DF}" presName="node" presStyleLbl="node1" presStyleIdx="2" presStyleCnt="3">
        <dgm:presLayoutVars>
          <dgm:bulletEnabled val="1"/>
        </dgm:presLayoutVars>
      </dgm:prSet>
      <dgm:spPr/>
    </dgm:pt>
  </dgm:ptLst>
  <dgm:cxnLst>
    <dgm:cxn modelId="{484AC03F-7B73-4C93-A430-42704D3BBCFB}" srcId="{8EB1D179-D23D-41D4-AEEF-E4B9FEB06903}" destId="{3F25DA44-7F3E-4C17-A40B-7F663FDBEA65}" srcOrd="0" destOrd="0" parTransId="{EE9066D1-3403-4469-8E8C-0D40A82430F2}" sibTransId="{8EC5AF5E-9C9F-410A-A755-A3EA5186F948}"/>
    <dgm:cxn modelId="{7656DD05-4DE2-461A-B58C-257D5B9C76C8}" srcId="{8EB1D179-D23D-41D4-AEEF-E4B9FEB06903}" destId="{2E2F4D3A-969C-4DB2-9FA9-5C4A40369351}" srcOrd="1" destOrd="0" parTransId="{1E934BFE-4D40-486C-8784-F698A10C4CF5}" sibTransId="{EC1AFF77-9232-4EEB-95CB-85CEAB3B1FC0}"/>
    <dgm:cxn modelId="{B0BC1812-6360-4C73-88EE-A4E6B7299E3B}" srcId="{8EB1D179-D23D-41D4-AEEF-E4B9FEB06903}" destId="{37B86CFA-59B5-46FA-8A6B-9FB187CE14DF}" srcOrd="2" destOrd="0" parTransId="{9DABF4F3-A9E6-40B1-A863-AC9409CC14BB}" sibTransId="{18EFF3C3-47F9-402B-A3F3-E9310EA281B4}"/>
    <dgm:cxn modelId="{10AAECA1-13DD-4F7C-A0A3-DB6FABA519FB}" type="presOf" srcId="{8EB1D179-D23D-41D4-AEEF-E4B9FEB06903}" destId="{BF708676-7EFC-4C81-9D3A-3E677EAC1C7B}" srcOrd="0" destOrd="0" presId="urn:microsoft.com/office/officeart/2005/8/layout/process1"/>
    <dgm:cxn modelId="{7F8186CA-9AB2-4277-8BD2-34E984428D63}" type="presParOf" srcId="{BF708676-7EFC-4C81-9D3A-3E677EAC1C7B}" destId="{111DEAC9-5D4C-4A6A-A44E-082A26F60596}" srcOrd="0" destOrd="0" presId="urn:microsoft.com/office/officeart/2005/8/layout/process1"/>
    <dgm:cxn modelId="{97E4FF57-D9E2-47E3-95E4-B64E7BA8F75F}" type="presOf" srcId="{3F25DA44-7F3E-4C17-A40B-7F663FDBEA65}" destId="{111DEAC9-5D4C-4A6A-A44E-082A26F60596}" srcOrd="0" destOrd="0" presId="urn:microsoft.com/office/officeart/2005/8/layout/process1"/>
    <dgm:cxn modelId="{1BC2754A-7C37-43C1-A843-385C573D59F8}" type="presParOf" srcId="{BF708676-7EFC-4C81-9D3A-3E677EAC1C7B}" destId="{8A5CF0CE-3323-464D-9C63-05C1BDB053F5}" srcOrd="1" destOrd="0" presId="urn:microsoft.com/office/officeart/2005/8/layout/process1"/>
    <dgm:cxn modelId="{CB160FE3-CA68-431B-917E-E47EC31DCEFA}" type="presOf" srcId="{8EC5AF5E-9C9F-410A-A755-A3EA5186F948}" destId="{8A5CF0CE-3323-464D-9C63-05C1BDB053F5}" srcOrd="0" destOrd="0" presId="urn:microsoft.com/office/officeart/2005/8/layout/process1"/>
    <dgm:cxn modelId="{E08DF9C4-9473-4BF6-B8CD-519AF0E3F6DA}" type="presParOf" srcId="{8A5CF0CE-3323-464D-9C63-05C1BDB053F5}" destId="{5FA465F6-7607-499F-BFB2-52F4E071FB67}" srcOrd="0" destOrd="1" presId="urn:microsoft.com/office/officeart/2005/8/layout/process1"/>
    <dgm:cxn modelId="{D7FDD7AB-4581-4C84-B0B1-9689155DFD92}" type="presOf" srcId="{8EC5AF5E-9C9F-410A-A755-A3EA5186F948}" destId="{5FA465F6-7607-499F-BFB2-52F4E071FB67}" srcOrd="1" destOrd="0" presId="urn:microsoft.com/office/officeart/2005/8/layout/process1"/>
    <dgm:cxn modelId="{74240CE1-0DE4-4CB1-8364-4417317F8219}" type="presParOf" srcId="{BF708676-7EFC-4C81-9D3A-3E677EAC1C7B}" destId="{552FB8E7-A5FB-4CC3-94C3-CE0BDF19F9F1}" srcOrd="2" destOrd="0" presId="urn:microsoft.com/office/officeart/2005/8/layout/process1"/>
    <dgm:cxn modelId="{BD6B73B8-6875-4C86-9F8E-1967125F85C1}" type="presOf" srcId="{2E2F4D3A-969C-4DB2-9FA9-5C4A40369351}" destId="{552FB8E7-A5FB-4CC3-94C3-CE0BDF19F9F1}" srcOrd="0" destOrd="0" presId="urn:microsoft.com/office/officeart/2005/8/layout/process1"/>
    <dgm:cxn modelId="{E588DC0B-C0DF-498A-A946-C4EA084F2D26}" type="presParOf" srcId="{BF708676-7EFC-4C81-9D3A-3E677EAC1C7B}" destId="{353C3794-50AA-4D44-83C9-CE28317C3317}" srcOrd="3" destOrd="0" presId="urn:microsoft.com/office/officeart/2005/8/layout/process1"/>
    <dgm:cxn modelId="{DAF4F1B7-BB1D-4A22-8DD8-37B9288F2E5F}" type="presOf" srcId="{EC1AFF77-9232-4EEB-95CB-85CEAB3B1FC0}" destId="{353C3794-50AA-4D44-83C9-CE28317C3317}" srcOrd="0" destOrd="0" presId="urn:microsoft.com/office/officeart/2005/8/layout/process1"/>
    <dgm:cxn modelId="{730BF153-8800-49EE-899B-6A3F79D8DCB6}" type="presParOf" srcId="{353C3794-50AA-4D44-83C9-CE28317C3317}" destId="{5AFF040D-0639-4120-9E39-DA822CF9F321}" srcOrd="0" destOrd="3" presId="urn:microsoft.com/office/officeart/2005/8/layout/process1"/>
    <dgm:cxn modelId="{D89C61AD-90BB-4892-A745-0563ACF03654}" type="presOf" srcId="{EC1AFF77-9232-4EEB-95CB-85CEAB3B1FC0}" destId="{5AFF040D-0639-4120-9E39-DA822CF9F321}" srcOrd="1" destOrd="0" presId="urn:microsoft.com/office/officeart/2005/8/layout/process1"/>
    <dgm:cxn modelId="{AC6B5F95-9CBE-456B-8ECB-C10DAC84AE74}" type="presParOf" srcId="{BF708676-7EFC-4C81-9D3A-3E677EAC1C7B}" destId="{A1E15D63-E1FF-4A28-A04F-A2B65927BC31}" srcOrd="4" destOrd="0" presId="urn:microsoft.com/office/officeart/2005/8/layout/process1"/>
    <dgm:cxn modelId="{3427DE0A-F15D-42FB-BBC0-789F51F03F1E}" type="presOf" srcId="{37B86CFA-59B5-46FA-8A6B-9FB187CE14DF}" destId="{A1E15D63-E1FF-4A28-A04F-A2B65927BC31}" srcOrd="0"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83785" cy="978535"/>
        <a:chOff x="0" y="0"/>
        <a:chExt cx="4883785" cy="978535"/>
      </a:xfrm>
    </dsp:grpSpPr>
    <dsp:sp modelId="{111DEAC9-5D4C-4A6A-A44E-082A26F60596}">
      <dsp:nvSpPr>
        <dsp:cNvPr id="3" name="圆角矩形 2"/>
        <dsp:cNvSpPr/>
      </dsp:nvSpPr>
      <dsp:spPr bwMode="white">
        <a:xfrm>
          <a:off x="0" y="79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个人</a:t>
          </a:r>
          <a:r>
            <a:rPr lang="zh-CN" altLang="en-US"/>
            <a:t>申请</a:t>
          </a:r>
          <a:endParaRPr lang="zh-CN" altLang="en-US"/>
        </a:p>
      </dsp:txBody>
      <dsp:txXfrm>
        <a:off x="0" y="7938"/>
        <a:ext cx="1285207" cy="962660"/>
      </dsp:txXfrm>
    </dsp:sp>
    <dsp:sp modelId="{8A5CF0CE-3323-464D-9C63-05C1BDB053F5}">
      <dsp:nvSpPr>
        <dsp:cNvPr id="4" name="右箭头 3"/>
        <dsp:cNvSpPr/>
      </dsp:nvSpPr>
      <dsp:spPr bwMode="white">
        <a:xfrm>
          <a:off x="1406016" y="3299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1406016" y="329902"/>
        <a:ext cx="272464" cy="318731"/>
      </dsp:txXfrm>
    </dsp:sp>
    <dsp:sp modelId="{552FB8E7-A5FB-4CC3-94C3-CE0BDF19F9F1}">
      <dsp:nvSpPr>
        <dsp:cNvPr id="5" name="圆角矩形 4"/>
        <dsp:cNvSpPr/>
      </dsp:nvSpPr>
      <dsp:spPr bwMode="white">
        <a:xfrm>
          <a:off x="1799289" y="79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ltLang="en-US"/>
            <a:t>单位</a:t>
          </a:r>
          <a:r>
            <a:rPr lang="zh-CN" altLang="en-US"/>
            <a:t>初审</a:t>
          </a:r>
          <a:endParaRPr lang="zh-CN" altLang="en-US"/>
        </a:p>
      </dsp:txBody>
      <dsp:txXfrm>
        <a:off x="1799289" y="7938"/>
        <a:ext cx="1285207" cy="962660"/>
      </dsp:txXfrm>
    </dsp:sp>
    <dsp:sp modelId="{353C3794-50AA-4D44-83C9-CE28317C3317}">
      <dsp:nvSpPr>
        <dsp:cNvPr id="6" name="右箭头 5"/>
        <dsp:cNvSpPr/>
      </dsp:nvSpPr>
      <dsp:spPr bwMode="white">
        <a:xfrm>
          <a:off x="3205305" y="3299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3205305" y="329902"/>
        <a:ext cx="272464" cy="318731"/>
      </dsp:txXfrm>
    </dsp:sp>
    <dsp:sp modelId="{A1E15D63-E1FF-4A28-A04F-A2B65927BC31}">
      <dsp:nvSpPr>
        <dsp:cNvPr id="7" name="圆角矩形 6"/>
        <dsp:cNvSpPr/>
      </dsp:nvSpPr>
      <dsp:spPr bwMode="white">
        <a:xfrm>
          <a:off x="3598578" y="79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endParaRPr lang="zh-CN" altLang="en-US"/>
        </a:p>
      </dsp:txBody>
      <dsp:txXfrm>
        <a:off x="3598578" y="7938"/>
        <a:ext cx="1285207" cy="962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83785" cy="1156335"/>
        <a:chOff x="0" y="0"/>
        <a:chExt cx="4883785" cy="1156335"/>
      </a:xfrm>
    </dsp:grpSpPr>
    <dsp:sp modelId="{111DEAC9-5D4C-4A6A-A44E-082A26F60596}">
      <dsp:nvSpPr>
        <dsp:cNvPr id="3" name="圆角矩形 2"/>
        <dsp:cNvSpPr/>
      </dsp:nvSpPr>
      <dsp:spPr bwMode="white">
        <a:xfrm>
          <a:off x="0" y="968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个人</a:t>
          </a:r>
          <a:r>
            <a:rPr lang="zh-CN" altLang="en-US"/>
            <a:t>申请</a:t>
          </a:r>
          <a:endParaRPr lang="zh-CN" altLang="en-US"/>
        </a:p>
      </dsp:txBody>
      <dsp:txXfrm>
        <a:off x="0" y="96838"/>
        <a:ext cx="1285207" cy="962660"/>
      </dsp:txXfrm>
    </dsp:sp>
    <dsp:sp modelId="{8A5CF0CE-3323-464D-9C63-05C1BDB053F5}">
      <dsp:nvSpPr>
        <dsp:cNvPr id="4" name="右箭头 3"/>
        <dsp:cNvSpPr/>
      </dsp:nvSpPr>
      <dsp:spPr bwMode="white">
        <a:xfrm>
          <a:off x="1406016" y="4188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1406016" y="418802"/>
        <a:ext cx="272464" cy="318731"/>
      </dsp:txXfrm>
    </dsp:sp>
    <dsp:sp modelId="{552FB8E7-A5FB-4CC3-94C3-CE0BDF19F9F1}">
      <dsp:nvSpPr>
        <dsp:cNvPr id="5" name="圆角矩形 4"/>
        <dsp:cNvSpPr/>
      </dsp:nvSpPr>
      <dsp:spPr bwMode="white">
        <a:xfrm>
          <a:off x="1799289" y="968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ltLang="en-US"/>
            <a:t>单位</a:t>
          </a:r>
          <a:r>
            <a:rPr lang="zh-CN" altLang="en-US"/>
            <a:t>初审</a:t>
          </a:r>
          <a:endParaRPr lang="zh-CN" altLang="en-US"/>
        </a:p>
      </dsp:txBody>
      <dsp:txXfrm>
        <a:off x="1799289" y="96838"/>
        <a:ext cx="1285207" cy="962660"/>
      </dsp:txXfrm>
    </dsp:sp>
    <dsp:sp modelId="{353C3794-50AA-4D44-83C9-CE28317C3317}">
      <dsp:nvSpPr>
        <dsp:cNvPr id="6" name="右箭头 5"/>
        <dsp:cNvSpPr/>
      </dsp:nvSpPr>
      <dsp:spPr bwMode="white">
        <a:xfrm>
          <a:off x="3205305" y="4188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3205305" y="418802"/>
        <a:ext cx="272464" cy="318731"/>
      </dsp:txXfrm>
    </dsp:sp>
    <dsp:sp modelId="{A1E15D63-E1FF-4A28-A04F-A2B65927BC31}">
      <dsp:nvSpPr>
        <dsp:cNvPr id="7" name="圆角矩形 6"/>
        <dsp:cNvSpPr/>
      </dsp:nvSpPr>
      <dsp:spPr bwMode="white">
        <a:xfrm>
          <a:off x="3598578" y="968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endParaRPr lang="zh-CN" altLang="en-US"/>
        </a:p>
      </dsp:txBody>
      <dsp:txXfrm>
        <a:off x="3598578" y="96838"/>
        <a:ext cx="1285207" cy="9626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2025-05-23T09:27:00Z</dcterms:created>
  <dc:creator>4MomBroy</dc:creator>
  <cp:lastModifiedBy>4MomBroy</cp:lastModifiedBy>
  <dcterms:modified xsi:type="dcterms:W3CDTF">2025-05-23T09:28:22Z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9F5E1E3BE15841B3AAB8EAEAAA7A9065_11</vt:lpwstr>
  </property>
  <property fmtid="{D5CDD505-2E9C-101B-9397-08002B2CF9AE}" pid="4" name="KSOTemplateDocerSaveRecord">
    <vt:lpwstr>eyJoZGlkIjoiYzc5ZDhiY2I4NThhZTBhM2I0ODA0ZmQ0MTk1ZWFjYjQiLCJ1c2VySWQiOiIzNzg4ODIzMzYifQ==</vt:lpwstr>
  </property>
</Properties>
</file>