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952"/>
        <w:gridCol w:w="765"/>
        <w:gridCol w:w="4534"/>
        <w:gridCol w:w="707"/>
        <w:gridCol w:w="1320"/>
      </w:tblGrid>
      <w:tr w14:paraId="4157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5B1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Style w:val="6"/>
                <w:rFonts w:hint="default" w:ascii="Times New Roman" w:hAnsi="Times New Roman" w:eastAsia="黑体" w:cs="Times New Roman"/>
                <w:sz w:val="32"/>
                <w:szCs w:val="32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 w14:paraId="7391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572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2026年江苏省丰县选聘“名校优才”计划表</w:t>
            </w:r>
          </w:p>
        </w:tc>
      </w:tr>
      <w:tr w14:paraId="36F1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5F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集团名称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E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FE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选聘人数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E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备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注</w:t>
            </w:r>
          </w:p>
        </w:tc>
      </w:tr>
      <w:tr w14:paraId="1E1B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E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丰县城发建设集团有限公司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丰县润城房地产开发有限公司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D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5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A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F7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1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丰县润城房地产开发有限公司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F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城建规划类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A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F2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B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丰县凤鸣热力有限公司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C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机电控制类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F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2E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丰县产发建设控股集团有限公司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丰县产发建设控股集团有限公司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4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7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B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1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研究生要求本科阶段为全日制法律类专业，</w:t>
            </w: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 w:bidi="ar"/>
              </w:rPr>
              <w:t>持有</w:t>
            </w: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  <w:lang w:val="en-US" w:eastAsia="zh-CN" w:bidi="ar"/>
              </w:rPr>
              <w:t>A</w:t>
            </w: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 w:bidi="ar"/>
              </w:rPr>
              <w:t>类法律职业资格证书优先考虑</w:t>
            </w:r>
          </w:p>
        </w:tc>
      </w:tr>
      <w:tr w14:paraId="131D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1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徐州通创大数据集团有限公司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计算机（网络管理）类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C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71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9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D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南京华邺科技产业集团有限公司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法律类、经济类、财务财会类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工作地点：南京</w:t>
            </w:r>
          </w:p>
        </w:tc>
      </w:tr>
      <w:tr w14:paraId="4176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丰县农兴投资集团有限公司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江苏汉之源水务有限公司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F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74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D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江苏汉之源水务有限公司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5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5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水利工程类、机电控制类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5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B7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E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江苏大沙河现代农业综合开发集团有限公司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农业类、经济类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8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F4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0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徐州丰邑文旅发展有限公司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2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工商管理类、公共管理类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03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丰县路源交通控股集团有限公司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丰县交通建设投资发展有限公司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财务财会类、审计类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A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3F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3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丰县交通建设投资发展有限公司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8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经济类、财务财会类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E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2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丰县交通建设投资发展有限公司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1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4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2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8B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9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丰县交通建设投资发展有限公司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7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研究生要求本科阶段为全日制法律类专业，持有A类法律职业资格证书优先考虑</w:t>
            </w:r>
          </w:p>
        </w:tc>
      </w:tr>
      <w:tr w14:paraId="0634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3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丰县交通建设投资发展有限公司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A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3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32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A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丰县顺达新能源发展有限公司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A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能源动力类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8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22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丰县鑫丰国有资产运营集团有限公司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丰县鑫丰国有资产运营集团有限公司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C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4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F5F34E5"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70154"/>
    <w:rsid w:val="6947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">
    <w:name w:val="font12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131"/>
    <w:basedOn w:val="4"/>
    <w:qFormat/>
    <w:uiPriority w:val="0"/>
    <w:rPr>
      <w:rFonts w:ascii="方正黑体_GBK" w:hAnsi="方正黑体_GBK" w:eastAsia="方正黑体_GBK" w:cs="方正黑体_GBK"/>
      <w:b/>
      <w:bCs/>
      <w:color w:val="000000"/>
      <w:sz w:val="24"/>
      <w:szCs w:val="24"/>
      <w:u w:val="none"/>
    </w:rPr>
  </w:style>
  <w:style w:type="character" w:customStyle="1" w:styleId="8">
    <w:name w:val="font141"/>
    <w:basedOn w:val="4"/>
    <w:qFormat/>
    <w:uiPriority w:val="0"/>
    <w:rPr>
      <w:rFonts w:hint="eastAsia" w:ascii="方正黑体_GBK" w:hAnsi="方正黑体_GBK" w:eastAsia="方正黑体_GBK" w:cs="方正黑体_GBK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71"/>
    <w:basedOn w:val="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16"/>
      <w:szCs w:val="16"/>
      <w:u w:val="none"/>
    </w:rPr>
  </w:style>
  <w:style w:type="character" w:customStyle="1" w:styleId="11">
    <w:name w:val="font8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2026-03-18T23:24:00Z</dcterms:created>
  <dc:creator>WPS_1480985677</dc:creator>
  <cp:lastModifiedBy>WPS_1480985677</cp:lastModifiedBy>
  <dcterms:modified xsi:type="dcterms:W3CDTF">2026-03-18T23:28:30Z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67BD3D3A4CE04370BF1A4F6D06FA6995_11</vt:lpwstr>
  </property>
  <property fmtid="{D5CDD505-2E9C-101B-9397-08002B2CF9AE}" pid="4" name="KSOTemplateDocerSaveRecord">
    <vt:lpwstr>eyJoZGlkIjoiMmQ4YTFjNTA3MzU1Zjk3NjViOWJlY2JlZTNiMWQ1OGEiLCJ1c2VySWQiOiIyNTUxMTkyNDIifQ==</vt:lpwstr>
  </property>
</Properties>
</file>