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附件3</w:t>
      </w: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“带押过户”业务收件材料</w:t>
      </w:r>
    </w:p>
    <w:p>
      <w:pPr>
        <w:spacing w:line="52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tbl>
      <w:tblPr>
        <w:tblStyle w:val="8"/>
        <w:tblW w:w="8925" w:type="dxa"/>
        <w:tblInd w:w="-24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367"/>
        <w:gridCol w:w="5522"/>
      </w:tblGrid>
      <w:tr>
        <w:trPr>
          <w:trHeight w:val="17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8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不动产登记“带押过户”申请书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身份证明</w:t>
            </w:r>
          </w:p>
        </w:tc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申请人、代理人身份证明材料、授权委托书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不动产权属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证书</w:t>
            </w:r>
          </w:p>
        </w:tc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不动产权证书、不动产登记证明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“带押过户”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相关材料</w:t>
            </w:r>
          </w:p>
        </w:tc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买卖合同，买方贷款的还需提供主债权合同、抵押合同（主债权合同及抵押合同表）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法律、行政法规以及不动产登记实施条例实施细则规定的其他材料</w:t>
            </w:r>
          </w:p>
        </w:tc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lang w:bidi="ar"/>
              </w:rPr>
              <w:t>公证书、抵押期间转让不动产协议等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984" w:right="1587" w:bottom="1701" w:left="1701" w:header="510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61851"/>
    <w:rsid w:val="10305C94"/>
    <w:rsid w:val="3C961A59"/>
    <w:rsid w:val="427D04F1"/>
    <w:rsid w:val="59761851"/>
    <w:rsid w:val="64C2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880" w:firstLineChars="200"/>
    </w:p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4">
    <w:name w:val="Body Text"/>
    <w:basedOn w:val="1"/>
    <w:next w:val="5"/>
    <w:qFormat/>
    <w:uiPriority w:val="99"/>
    <w:rPr>
      <w:rFonts w:ascii="宋体" w:hAnsi="宋体" w:eastAsia="宋体" w:cs="宋体"/>
      <w:szCs w:val="21"/>
      <w:lang w:val="zh-CN" w:bidi="zh-CN"/>
    </w:rPr>
  </w:style>
  <w:style w:type="paragraph" w:styleId="5">
    <w:name w:val="Title"/>
    <w:basedOn w:val="1"/>
    <w:next w:val="1"/>
    <w:qFormat/>
    <w:uiPriority w:val="10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2023-10-16T08:52:00Z</dcterms:created>
  <dc:creator>磊</dc:creator>
  <cp:lastModifiedBy>磊</cp:lastModifiedBy>
  <dcterms:modified xsi:type="dcterms:W3CDTF">2023-12-04T08:52:21Z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