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before="156" w:beforeLines="50" w:line="72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潍坊市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青年人才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生活补助申请表</w:t>
      </w:r>
    </w:p>
    <w:p>
      <w:pPr>
        <w:spacing w:line="560" w:lineRule="exact"/>
        <w:jc w:val="center"/>
        <w:rPr>
          <w:rFonts w:eastAsia="方正小标宋简体"/>
          <w:b/>
          <w:bCs/>
          <w:color w:val="auto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60"/>
        <w:gridCol w:w="765"/>
        <w:gridCol w:w="525"/>
        <w:gridCol w:w="330"/>
        <w:gridCol w:w="1020"/>
        <w:gridCol w:w="585"/>
        <w:gridCol w:w="463"/>
        <w:gridCol w:w="617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本人一寸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/学位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/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（技能等级）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工作单位名称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来潍时间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签订合同时间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年  月  日—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注册企业名称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注册时间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联系方式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发放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标准（元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/月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社保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金融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账号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开户行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（具体到支行）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个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人简历</w:t>
            </w:r>
          </w:p>
        </w:tc>
        <w:tc>
          <w:tcPr>
            <w:tcW w:w="7164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申请承诺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本人郑重承诺，以上填报内容及申请材料真实、准确，如有虚假，本人愿承担全部责任。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申请人签字：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用人单位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申报意见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本单位郑重承诺，已认真审核申领人员填报信息，确保真实并同意申报青年人才生活补助，如有虚假，本单位愿承担全部责任。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审核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00" w:lineRule="exact"/>
              <w:ind w:firstLine="504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6"/>
                <w:sz w:val="24"/>
              </w:rPr>
              <w:t>该同志符合潍坊市青年人才生活补助发放条件，同意给予每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元补助，期限为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个月。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  注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eastAsia="楷体_GB2312" w:cs="宋体"/>
      <w:bCs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2023-04-28T03:59:42Z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