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600" w:lineRule="exact"/>
        <w:jc w:val="left"/>
        <w:rPr>
          <w:rFonts w:hint="eastAsia" w:ascii="宋体" w:hAnsi="宋体" w:eastAsia="宋体" w:cs="宋体"/>
          <w:color w:val="343434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343434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343434"/>
          <w:kern w:val="0"/>
          <w:sz w:val="28"/>
          <w:szCs w:val="28"/>
          <w:lang w:val="en-US" w:eastAsia="zh-CN"/>
        </w:rPr>
        <w:t>4：</w:t>
      </w: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诸暨市公安局公开招聘第十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期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辅警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体检标准</w:t>
      </w:r>
    </w:p>
    <w:p>
      <w:pPr>
        <w:widowControl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</w:p>
    <w:p>
      <w:pPr>
        <w:widowControl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343434"/>
          <w:kern w:val="0"/>
          <w:sz w:val="28"/>
          <w:szCs w:val="28"/>
        </w:rPr>
        <w:t xml:space="preserve">第一条 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风湿性心脏病、心肌病、冠心病、先天性心脏病等器质性心脏病，不合格。先天性心脏病不需手术者或经手术治愈者，合格。</w:t>
      </w:r>
    </w:p>
    <w:p>
      <w:pPr>
        <w:widowControl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遇有下列情况之一的，排除病理性改变，合格：</w:t>
      </w:r>
    </w:p>
    <w:p>
      <w:pPr>
        <w:widowControl/>
        <w:snapToGrid w:val="0"/>
        <w:spacing w:line="600" w:lineRule="exact"/>
        <w:ind w:firstLine="548" w:firstLineChars="196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（一）心脏听诊有杂音；</w:t>
      </w:r>
    </w:p>
    <w:p>
      <w:pPr>
        <w:widowControl/>
        <w:snapToGrid w:val="0"/>
        <w:spacing w:line="600" w:lineRule="exact"/>
        <w:ind w:firstLine="548" w:firstLineChars="196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（二）频发期前收缩；</w:t>
      </w:r>
    </w:p>
    <w:p>
      <w:pPr>
        <w:widowControl/>
        <w:snapToGrid w:val="0"/>
        <w:spacing w:line="600" w:lineRule="exact"/>
        <w:ind w:firstLine="548" w:firstLineChars="196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（三）心率每分钟小于50次或大于110次；</w:t>
      </w:r>
    </w:p>
    <w:p>
      <w:pPr>
        <w:widowControl/>
        <w:spacing w:line="600" w:lineRule="exact"/>
        <w:ind w:firstLine="540" w:firstLineChars="193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（四）心电图有异常的其他情况。</w:t>
      </w:r>
    </w:p>
    <w:p>
      <w:pPr>
        <w:widowControl/>
        <w:snapToGrid w:val="0"/>
        <w:spacing w:line="600" w:lineRule="exact"/>
        <w:ind w:firstLine="548" w:firstLineChars="196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第二条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血压在下列范围内，合格：收缩压小于140mmHg；舒张压小于90mmHg。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第三条 </w:t>
      </w:r>
      <w:r>
        <w:rPr>
          <w:rFonts w:ascii="宋体" w:hAnsi="宋体" w:cs="宋体"/>
          <w:color w:val="343434"/>
          <w:kern w:val="0"/>
          <w:sz w:val="28"/>
          <w:szCs w:val="28"/>
        </w:rPr>
        <w:t>单侧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矫正</w:t>
      </w:r>
      <w:r>
        <w:rPr>
          <w:rFonts w:ascii="宋体" w:hAnsi="宋体" w:cs="宋体"/>
          <w:color w:val="343434"/>
          <w:kern w:val="0"/>
          <w:sz w:val="28"/>
          <w:szCs w:val="28"/>
        </w:rPr>
        <w:t>视力低于4.8，不合格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。</w:t>
      </w:r>
      <w:r>
        <w:rPr>
          <w:rFonts w:ascii="宋体" w:hAnsi="宋体" w:cs="宋体"/>
          <w:color w:val="343434"/>
          <w:kern w:val="0"/>
          <w:sz w:val="28"/>
          <w:szCs w:val="28"/>
        </w:rPr>
        <w:t>单侧裸眼视力低于4.8，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巡特警大队岗位</w:t>
      </w:r>
      <w:r>
        <w:rPr>
          <w:rFonts w:ascii="宋体" w:hAnsi="宋体" w:cs="宋体"/>
          <w:color w:val="343434"/>
          <w:kern w:val="0"/>
          <w:sz w:val="28"/>
          <w:szCs w:val="28"/>
        </w:rPr>
        <w:t>，不合格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第四条  过于肥胖或消瘦者，不能录用。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判定过于肥胖或消瘦者按以下方法：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实际体重超过标准体重30%以上者为过于肥胖；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实际体重低于标准体重15%以上者为过于瘦弱。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标准体重计算方法：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标准体重（千克）=身高（厘米）-110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超出和低于标准体重的百分数计算方法：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[实际体重（千克）-标准体重（千克）]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÷标准体重（千克）×100%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第五条  </w:t>
      </w:r>
      <w:r>
        <w:rPr>
          <w:rFonts w:ascii="宋体" w:hAnsi="宋体" w:cs="宋体"/>
          <w:color w:val="343434"/>
          <w:kern w:val="0"/>
          <w:sz w:val="28"/>
          <w:szCs w:val="28"/>
        </w:rPr>
        <w:t>色盲，不合格。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第六条  </w:t>
      </w:r>
      <w:r>
        <w:rPr>
          <w:rFonts w:ascii="宋体" w:hAnsi="宋体" w:cs="宋体"/>
          <w:color w:val="343434"/>
          <w:kern w:val="0"/>
          <w:sz w:val="28"/>
          <w:szCs w:val="28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cs="宋体"/>
          <w:color w:val="343434"/>
          <w:kern w:val="0"/>
          <w:sz w:val="28"/>
          <w:szCs w:val="28"/>
        </w:rPr>
      </w:pPr>
      <w:r>
        <w:rPr>
          <w:rFonts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七</w:t>
      </w:r>
      <w:r>
        <w:rPr>
          <w:rFonts w:ascii="宋体" w:hAnsi="宋体" w:cs="宋体"/>
          <w:color w:val="343434"/>
          <w:kern w:val="0"/>
          <w:sz w:val="28"/>
          <w:szCs w:val="28"/>
        </w:rPr>
        <w:t xml:space="preserve">条  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纹身</w:t>
      </w:r>
      <w:r>
        <w:rPr>
          <w:rFonts w:ascii="宋体" w:hAnsi="宋体" w:cs="宋体"/>
          <w:color w:val="343434"/>
          <w:kern w:val="0"/>
          <w:sz w:val="28"/>
          <w:szCs w:val="28"/>
        </w:rPr>
        <w:t>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cs="宋体"/>
          <w:color w:val="343434"/>
          <w:kern w:val="0"/>
          <w:sz w:val="28"/>
          <w:szCs w:val="28"/>
        </w:rPr>
      </w:pPr>
      <w:r>
        <w:rPr>
          <w:rFonts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八</w:t>
      </w:r>
      <w:r>
        <w:rPr>
          <w:rFonts w:ascii="宋体" w:hAnsi="宋体" w:cs="宋体"/>
          <w:color w:val="343434"/>
          <w:kern w:val="0"/>
          <w:sz w:val="28"/>
          <w:szCs w:val="28"/>
        </w:rPr>
        <w:t>条  肢体功能障碍，不合格。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cs="宋体"/>
          <w:color w:val="343434"/>
          <w:kern w:val="0"/>
          <w:sz w:val="28"/>
          <w:szCs w:val="28"/>
        </w:rPr>
      </w:pPr>
      <w:r>
        <w:rPr>
          <w:rFonts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九</w:t>
      </w:r>
      <w:r>
        <w:rPr>
          <w:rFonts w:ascii="宋体" w:hAnsi="宋体" w:cs="宋体"/>
          <w:color w:val="343434"/>
          <w:kern w:val="0"/>
          <w:sz w:val="28"/>
          <w:szCs w:val="28"/>
        </w:rPr>
        <w:t>条  单侧耳语听力低于5米，不合格。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cs="宋体"/>
          <w:color w:val="343434"/>
          <w:kern w:val="0"/>
          <w:sz w:val="28"/>
          <w:szCs w:val="28"/>
        </w:rPr>
      </w:pPr>
      <w:r>
        <w:rPr>
          <w:rFonts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十</w:t>
      </w:r>
      <w:r>
        <w:rPr>
          <w:rFonts w:ascii="宋体" w:hAnsi="宋体" w:cs="宋体"/>
          <w:color w:val="343434"/>
          <w:kern w:val="0"/>
          <w:sz w:val="28"/>
          <w:szCs w:val="28"/>
        </w:rPr>
        <w:t>条  嗅觉迟钝，不合格。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十一</w:t>
      </w:r>
      <w:r>
        <w:rPr>
          <w:rFonts w:ascii="宋体" w:hAnsi="宋体" w:cs="宋体"/>
          <w:color w:val="343434"/>
          <w:kern w:val="0"/>
          <w:sz w:val="28"/>
          <w:szCs w:val="28"/>
        </w:rPr>
        <w:t>条 乙肝病原携带者，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巡特警大队岗位</w:t>
      </w:r>
      <w:r>
        <w:rPr>
          <w:rFonts w:ascii="宋体" w:hAnsi="宋体" w:cs="宋体"/>
          <w:color w:val="343434"/>
          <w:kern w:val="0"/>
          <w:sz w:val="28"/>
          <w:szCs w:val="28"/>
        </w:rPr>
        <w:t>，不合格。</w:t>
      </w:r>
    </w:p>
    <w:p>
      <w:pPr>
        <w:widowControl/>
        <w:snapToGrid w:val="0"/>
        <w:spacing w:line="600" w:lineRule="exact"/>
        <w:ind w:firstLine="548" w:firstLineChars="196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十二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血液系统疾病，不合格。单纯性缺铁性贫血，血红蛋白男性高于90g／L、女性高于80g／L，合格。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十三</w:t>
      </w:r>
      <w:r>
        <w:rPr>
          <w:rFonts w:ascii="宋体" w:hAnsi="宋体" w:cs="宋体"/>
          <w:color w:val="343434"/>
          <w:kern w:val="0"/>
          <w:sz w:val="28"/>
          <w:szCs w:val="28"/>
        </w:rPr>
        <w:t xml:space="preserve">条 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结核病不合格。但下列情况合格：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（一）原发性肺结核、继发性肺结核、结核性胸膜炎，临床治愈后稳定1年无变化者；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（二）肺外结核病：肾结核、骨结核、腹膜结核、淋巴结核等，临床治愈后2年无复发，经专科医院检查无变化者。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十四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条 慢性支气管炎伴阻塞性肺气肿、支气管扩张、支气管哮喘，不合格。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十五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慢性胰腺炎、溃疡性结肠炎、克罗恩病等严重慢性消化系统疾病，不合格。胃次全切除术后无严重并发症者，合格。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十六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条 各种急慢性肝炎及肝硬化，不合格。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第十七条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恶性肿瘤，不合格。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十八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肾炎、慢性肾盂肾炎、多囊肾、肾功能不全，不合格。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第十九条 糖尿病、尿崩症、肢端肥大症等内分泌系统疾病，不合格。甲状腺功能亢进治愈后1年无症状和体征者，合格。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第二十条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第二十一条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第二十二条 晚期血吸虫病，晚期血丝虫病兼有橡皮肿或有乳糜尿，不合格。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第二十三条 颅骨缺损、颅内异物存留、颅脑畸形、脑外伤后综合征，不合格。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二十四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条 严重的慢性骨髓炎，不合格。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二十五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三度单纯性甲状腺肿，不合格。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第二十六条 有梗阻的胆结石或泌尿系结石，不合格。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宋体"/>
          <w:color w:val="343434"/>
          <w:kern w:val="0"/>
          <w:sz w:val="28"/>
          <w:szCs w:val="28"/>
        </w:rPr>
        <w:t>第</w:t>
      </w:r>
      <w:r>
        <w:rPr>
          <w:rFonts w:hint="eastAsia" w:ascii="宋体" w:hAnsi="宋体" w:cs="黑体"/>
          <w:color w:val="343434"/>
          <w:kern w:val="0"/>
          <w:sz w:val="28"/>
          <w:szCs w:val="28"/>
        </w:rPr>
        <w:t>二十七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>条 淋病、梅毒、软下疳、性病性淋巴肉芽肿、尖锐湿疣、生殖器疱疹，艾滋病，不合格。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第二十八条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双耳均有听力障碍，在使用人工听觉装置情况下，双耳在3米以内耳语仍听不见者，不合格。</w:t>
      </w:r>
    </w:p>
    <w:p>
      <w:pPr>
        <w:widowControl/>
        <w:spacing w:line="600" w:lineRule="exact"/>
        <w:ind w:firstLine="640"/>
        <w:jc w:val="left"/>
        <w:rPr>
          <w:rFonts w:hint="eastAsia" w:ascii="宋体" w:hAnsi="宋体" w:cs="宋体"/>
          <w:color w:val="343434"/>
          <w:kern w:val="0"/>
          <w:sz w:val="28"/>
          <w:szCs w:val="28"/>
        </w:rPr>
      </w:pPr>
      <w:r>
        <w:rPr>
          <w:rFonts w:hint="eastAsia" w:ascii="宋体" w:hAnsi="宋体" w:cs="黑体"/>
          <w:color w:val="343434"/>
          <w:kern w:val="0"/>
          <w:sz w:val="28"/>
          <w:szCs w:val="28"/>
        </w:rPr>
        <w:t>第二十九条</w:t>
      </w:r>
      <w:r>
        <w:rPr>
          <w:rFonts w:hint="eastAsia" w:ascii="宋体" w:hAnsi="宋体" w:cs="宋体"/>
          <w:color w:val="343434"/>
          <w:kern w:val="0"/>
          <w:sz w:val="28"/>
          <w:szCs w:val="28"/>
        </w:rPr>
        <w:t xml:space="preserve"> 未纳入体检标准，影响正常履行职责的其他严重疾病，不合格。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1711"/>
    <w:rsid w:val="001B43FC"/>
    <w:rsid w:val="003557F3"/>
    <w:rsid w:val="003C03D7"/>
    <w:rsid w:val="003F154C"/>
    <w:rsid w:val="0066362F"/>
    <w:rsid w:val="006D78CE"/>
    <w:rsid w:val="0082005A"/>
    <w:rsid w:val="00C14BBA"/>
    <w:rsid w:val="00D35462"/>
    <w:rsid w:val="00E13EAF"/>
    <w:rsid w:val="1F496329"/>
    <w:rsid w:val="1FCA3A24"/>
    <w:rsid w:val="3F561912"/>
    <w:rsid w:val="4A35453B"/>
    <w:rsid w:val="76056E2F"/>
    <w:rsid w:val="BFD72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link w:val="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207</Words>
  <Characters>1181</Characters>
  <Lines>9</Lines>
  <Paragraphs>2</Paragraphs>
  <TotalTime>1.33333333333333</TotalTime>
  <ScaleCrop>false</ScaleCrop>
  <LinksUpToDate>false</LinksUpToDate>
  <CharactersWithSpaces>1386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2019-03-22T03:18:00Z</dcterms:created>
  <dc:creator>Lenovo</dc:creator>
  <cp:lastModifiedBy>玥公子212</cp:lastModifiedBy>
  <cp:lastPrinted>2023-11-06T11:52:33Z</cp:lastPrinted>
  <dcterms:modified xsi:type="dcterms:W3CDTF">2023-11-06T12:54:41Z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0CF2FC8E6B5545CCAC860CFDF5124431_13</vt:lpwstr>
  </property>
</Properties>
</file>