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BBF54">
      <w:pPr>
        <w:keepNext w:val="0"/>
        <w:keepLines w:val="0"/>
        <w:pageBreakBefore w:val="0"/>
        <w:widowControl w:val="0"/>
        <w:kinsoku/>
        <w:wordWrap/>
        <w:overflowPunct/>
        <w:topLinePunct w:val="0"/>
        <w:autoSpaceDE/>
        <w:autoSpaceDN/>
        <w:bidi w:val="0"/>
        <w:adjustRightInd/>
        <w:snapToGrid/>
        <w:spacing w:line="550" w:lineRule="exact"/>
        <w:jc w:val="left"/>
        <w:textAlignment w:val="auto"/>
        <w:rPr>
          <w:rFonts w:hint="default" w:ascii="黑体" w:hAnsi="黑体" w:eastAsia="黑体" w:cs="黑体"/>
          <w:b w:val="0"/>
          <w:bCs w:val="0"/>
          <w:i w:val="0"/>
          <w:iCs w:val="0"/>
          <w:caps w:val="0"/>
          <w:color w:val="000000"/>
          <w:spacing w:val="0"/>
          <w:sz w:val="44"/>
          <w:szCs w:val="44"/>
          <w:lang w:val="en-US" w:eastAsia="zh-CN"/>
        </w:rPr>
      </w:pPr>
      <w:r>
        <w:rPr>
          <w:rFonts w:hint="eastAsia" w:ascii="黑体" w:hAnsi="黑体" w:eastAsia="黑体" w:cs="黑体"/>
          <w:b w:val="0"/>
          <w:bCs w:val="0"/>
          <w:i w:val="0"/>
          <w:iCs w:val="0"/>
          <w:caps w:val="0"/>
          <w:color w:val="000000"/>
          <w:spacing w:val="0"/>
          <w:sz w:val="32"/>
          <w:szCs w:val="32"/>
          <w:lang w:val="en-US" w:eastAsia="zh-CN"/>
        </w:rPr>
        <w:t>附件4</w:t>
      </w:r>
    </w:p>
    <w:p w14:paraId="1B7FBC7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rPr>
      </w:pPr>
    </w:p>
    <w:p w14:paraId="1B39CFC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rPr>
      </w:pPr>
      <w:r>
        <w:rPr>
          <w:rFonts w:hint="eastAsia" w:ascii="方正小标宋_GBK" w:hAnsi="方正小标宋_GBK" w:eastAsia="方正小标宋_GBK" w:cs="方正小标宋_GBK"/>
          <w:b w:val="0"/>
          <w:bCs w:val="0"/>
          <w:i w:val="0"/>
          <w:iCs w:val="0"/>
          <w:caps w:val="0"/>
          <w:color w:val="000000"/>
          <w:spacing w:val="0"/>
          <w:sz w:val="44"/>
          <w:szCs w:val="44"/>
        </w:rPr>
        <w:t>江苏省2026年省属事业单位统一公开</w:t>
      </w:r>
    </w:p>
    <w:p w14:paraId="0F8EF993">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rPr>
      </w:pPr>
      <w:r>
        <w:rPr>
          <w:rFonts w:hint="eastAsia" w:ascii="方正小标宋_GBK" w:hAnsi="方正小标宋_GBK" w:eastAsia="方正小标宋_GBK" w:cs="方正小标宋_GBK"/>
          <w:b w:val="0"/>
          <w:bCs w:val="0"/>
          <w:i w:val="0"/>
          <w:iCs w:val="0"/>
          <w:caps w:val="0"/>
          <w:color w:val="000000"/>
          <w:spacing w:val="0"/>
          <w:sz w:val="44"/>
          <w:szCs w:val="44"/>
        </w:rPr>
        <w:t>招聘人员公共科目笔试考试大纲</w:t>
      </w:r>
    </w:p>
    <w:p w14:paraId="199F1F7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p>
    <w:p w14:paraId="125017A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14:paraId="56D7904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一、考试性质和测试目标</w:t>
      </w:r>
    </w:p>
    <w:p w14:paraId="63A0DEB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事业单位统一公开招聘考试由事业单位公开招聘工作综合管理部门组织，按照招聘工作计划，针对各类事业单位的空缺岗位面向社会公开招考。凡符合报考资格条件的人员均可参加。</w:t>
      </w:r>
    </w:p>
    <w:p w14:paraId="46F1681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通过测试应试人员从事事业单位工作应当具备的基本能力和素质，达到对报考群体初步筛选的目的。</w:t>
      </w:r>
    </w:p>
    <w:p w14:paraId="5709E01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二、考试科目和测试方式</w:t>
      </w:r>
    </w:p>
    <w:p w14:paraId="4A16A3E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lang w:val="en-US" w:eastAsia="zh-CN"/>
        </w:rPr>
        <w:t>一</w:t>
      </w: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rPr>
        <w:t>考试科目</w:t>
      </w:r>
    </w:p>
    <w:p w14:paraId="29EC373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《综合知识和能力素质》(管理类岗位)</w:t>
      </w:r>
    </w:p>
    <w:p w14:paraId="763C75C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《综合知识和能力素质》(通用类专业技术岗位)</w:t>
      </w:r>
    </w:p>
    <w:p w14:paraId="5C21068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《综合知识和能力素质》(工勤技能类岗位)</w:t>
      </w:r>
    </w:p>
    <w:p w14:paraId="308078E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lang w:val="en-US" w:eastAsia="zh-CN"/>
        </w:rPr>
        <w:t>二</w:t>
      </w: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rPr>
        <w:t>测试方式</w:t>
      </w:r>
    </w:p>
    <w:p w14:paraId="27DCB36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均为闭卷笔试。</w:t>
      </w:r>
    </w:p>
    <w:p w14:paraId="68ACECD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三、考试范围和测试内容</w:t>
      </w:r>
    </w:p>
    <w:p w14:paraId="21873EA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lang w:val="en-US" w:eastAsia="zh-CN"/>
        </w:rPr>
        <w:t>一</w:t>
      </w: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rPr>
        <w:t>考试范围</w:t>
      </w:r>
    </w:p>
    <w:p w14:paraId="5E63A28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管理类岗位和工勤技能类岗位为综合知识和基本能力，通用类专业技术岗位为综合知识、基本能力、相关专业知识和专业能力。</w:t>
      </w:r>
    </w:p>
    <w:p w14:paraId="3542F0F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lang w:val="en-US" w:eastAsia="zh-CN"/>
        </w:rPr>
        <w:t>二</w:t>
      </w: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rPr>
        <w:t>测试内容</w:t>
      </w:r>
    </w:p>
    <w:p w14:paraId="580A3DE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1.综合知识测试内容</w:t>
      </w:r>
    </w:p>
    <w:p w14:paraId="4D9FE9C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主要测试应试人员学习理解掌握党的创新理论及党和国家方针政策的情况以及应试人员在自然、人文社科等方面应知应会的基本知识和运用这些知识分析判断的基本能力。</w:t>
      </w:r>
    </w:p>
    <w:p w14:paraId="1E3A486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2.基本能力测试内容</w:t>
      </w:r>
    </w:p>
    <w:p w14:paraId="47539D0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主要测试应试人员阅读理解能力、判断推理能力、处理数量关系能力、综合分析能力、解决问题能力、文字表达能力，以及履行岗位职责的必备能力等素质。</w:t>
      </w:r>
    </w:p>
    <w:p w14:paraId="0569EEE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3.专业知识和专业能力测试内容</w:t>
      </w:r>
    </w:p>
    <w:p w14:paraId="67B2536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主要测试应试人员掌握本专业基本理论、基本知识的程度和实际应用能力。</w:t>
      </w:r>
    </w:p>
    <w:p w14:paraId="5712FD6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①法律类岗位：法律的基本理论，运用法律知识分析、判断和解决实际问题的能力。</w:t>
      </w:r>
    </w:p>
    <w:p w14:paraId="41A56C6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②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14:paraId="226CD02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③经济类岗位(会计、审计、统计和其他经济岗位)：经济学、统计学、审计学和会计方面的基本理论、基本知识和基本业务技能，运用相关专业原理分析、解决实际问题的能力。</w:t>
      </w:r>
    </w:p>
    <w:p w14:paraId="036EFAF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会计岗位和审计岗位试卷相同，统计岗位和其他经济岗位试卷相同，两套试卷内容各有侧重。</w:t>
      </w:r>
    </w:p>
    <w:p w14:paraId="7B8AF2F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lang w:val="en-US" w:eastAsia="zh-CN"/>
        </w:rPr>
        <w:t>三</w:t>
      </w:r>
      <w:r>
        <w:rPr>
          <w:rFonts w:hint="eastAsia" w:ascii="楷体_GB2312" w:hAnsi="楷体_GB2312" w:eastAsia="楷体_GB2312" w:cs="楷体_GB2312"/>
          <w:b w:val="0"/>
          <w:bCs w:val="0"/>
          <w:i w:val="0"/>
          <w:iCs w:val="0"/>
          <w:caps w:val="0"/>
          <w:color w:val="000000"/>
          <w:spacing w:val="0"/>
          <w:sz w:val="32"/>
          <w:szCs w:val="32"/>
          <w:lang w:eastAsia="zh-CN"/>
        </w:rPr>
        <w:t>）</w:t>
      </w:r>
      <w:r>
        <w:rPr>
          <w:rFonts w:hint="eastAsia" w:ascii="楷体_GB2312" w:hAnsi="楷体_GB2312" w:eastAsia="楷体_GB2312" w:cs="楷体_GB2312"/>
          <w:b w:val="0"/>
          <w:bCs w:val="0"/>
          <w:i w:val="0"/>
          <w:iCs w:val="0"/>
          <w:caps w:val="0"/>
          <w:color w:val="000000"/>
          <w:spacing w:val="0"/>
          <w:sz w:val="32"/>
          <w:szCs w:val="32"/>
        </w:rPr>
        <w:t>测试内容权重</w:t>
      </w:r>
    </w:p>
    <w:p w14:paraId="4083B9D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坚持“干什么，考什么”的原则，根据行业、专业和岗位特点确定测试内容的比例。</w:t>
      </w:r>
    </w:p>
    <w:p w14:paraId="5324359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四、考试题型和测试时限</w:t>
      </w:r>
    </w:p>
    <w:p w14:paraId="4712C0B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一</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考试题型：单项选择题、多项选择题、简答题、论述题、综合分析题、案例分析题、实务题、材料处理题、写作题等。</w:t>
      </w:r>
    </w:p>
    <w:p w14:paraId="51BDAB1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根据试卷结构的要求选取上述若干个不等题型。试卷均含主观题和客观题。</w:t>
      </w:r>
    </w:p>
    <w:p w14:paraId="5A7C528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二</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测试时限：《综合知识和能力素质》(管理类岗位)、《综合知识和能力素质》(通用类专业技术岗位)两门科目均为150分钟，满分100分;《综合知识和能力素质》(工勤技能类岗位)为90分钟，满分100分。</w:t>
      </w:r>
    </w:p>
    <w:p w14:paraId="0689579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五、作答要求</w:t>
      </w:r>
    </w:p>
    <w:p w14:paraId="0FC65C0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Style w:val="7"/>
          <w:rFonts w:hint="eastAsia" w:ascii="仿宋_GB2312" w:hAnsi="仿宋_GB2312" w:eastAsia="仿宋_GB2312" w:cs="仿宋_GB2312"/>
          <w:b w:val="0"/>
          <w:bCs w:val="0"/>
          <w:i w:val="0"/>
          <w:iCs w:val="0"/>
          <w:caps w:val="0"/>
          <w:color w:val="000000"/>
          <w:spacing w:val="0"/>
          <w:sz w:val="32"/>
          <w:szCs w:val="32"/>
        </w:rPr>
        <w:t>应试人员用0.5MM黑色</w:t>
      </w:r>
      <w:r>
        <w:rPr>
          <w:rFonts w:hint="eastAsia" w:ascii="仿宋_GB2312" w:hAnsi="仿宋_GB2312" w:eastAsia="仿宋_GB2312" w:cs="仿宋_GB2312"/>
          <w:b w:val="0"/>
          <w:bCs w:val="0"/>
          <w:i w:val="0"/>
          <w:iCs w:val="0"/>
          <w:caps w:val="0"/>
          <w:color w:val="000000"/>
          <w:spacing w:val="0"/>
          <w:sz w:val="32"/>
          <w:szCs w:val="32"/>
        </w:rPr>
        <w:t>签字笔或钢笔在试卷和答题卡指定位置填写自己的姓名、准考证号码等信息;准考证号数字下面对应的信息点，用2B铅笔涂黑。</w:t>
      </w:r>
    </w:p>
    <w:p w14:paraId="0DE4831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客观题作答要求：应试人员用2B铅笔在答题卡指定位置作答，在试卷上作答或在答题卡上非指定位置作答的信息一律无效。</w:t>
      </w:r>
    </w:p>
    <w:p w14:paraId="6230DBF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主观题作答要求：应试人员必须用黑色签字笔或钢笔在答题卡指定位置作答，用圆珠笔、铅笔作答或在非指定位置作答的信息一律无效。</w:t>
      </w:r>
    </w:p>
    <w:p w14:paraId="2FBDE72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六、答题卡填涂方法说明</w:t>
      </w:r>
    </w:p>
    <w:p w14:paraId="1E28340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客观题通过光电阅读机和计算机阅卷评分，请务必按以下要求认真填写：</w:t>
      </w:r>
    </w:p>
    <w:p w14:paraId="2B35C2A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一</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14:paraId="22A996A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二</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答题时，用2B铅笔在对应题号所选项的信息点内涂黑，注意不要涂到框外。不能用黑色签字笔、钢笔填涂选项。</w:t>
      </w:r>
    </w:p>
    <w:p w14:paraId="4D88D8C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三</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修改时不得使用涂改液，要用橡皮彻底擦干净。必须保持卷面整洁，不得做任何其他记号。</w:t>
      </w:r>
    </w:p>
    <w:p w14:paraId="0934B34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四</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不得折叠答题卡。</w:t>
      </w:r>
    </w:p>
    <w:p w14:paraId="3BFEA72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Style w:val="7"/>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rPr>
        <w:t>七、补充说明</w:t>
      </w:r>
    </w:p>
    <w:p w14:paraId="4E17A1C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一</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本考试大纲是江苏省2026年省属事业单位统一公开招聘人员笔试考试的基本依据。测试内容可在10%以内超出大纲。</w:t>
      </w:r>
    </w:p>
    <w:p w14:paraId="62723EC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二</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本次考试不指定教材。</w:t>
      </w:r>
    </w:p>
    <w:p w14:paraId="0D3C109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50" w:lineRule="exact"/>
        <w:ind w:left="0"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三</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rPr>
        <w:t>各市、县事业单位公开招聘管理类岗位、通用类专业技术岗位和工勤技能类岗位的考试可参照本大纲。</w:t>
      </w:r>
      <w:bookmarkStart w:id="0" w:name="_GoBack"/>
      <w:bookmarkEnd w:id="0"/>
    </w:p>
    <w:p w14:paraId="31AE1809">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rPr>
      </w:pPr>
    </w:p>
    <w:sectPr>
      <w:footerReference r:id="rId3" w:type="default"/>
      <w:pgSz w:w="11906" w:h="16838"/>
      <w:pgMar w:top="1440" w:right="1800" w:bottom="1440" w:left="180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5D2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AD4A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3AD4A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951F5"/>
    <w:rsid w:val="356C7FB1"/>
    <w:rsid w:val="3B827AF3"/>
    <w:rsid w:val="5DF95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1737</Words>
  <Characters>1766</Characters>
  <Lines>0</Lines>
  <Paragraphs>0</Paragraphs>
  <TotalTime>5</TotalTime>
  <ScaleCrop>false</ScaleCrop>
  <LinksUpToDate>false</LinksUpToDate>
  <CharactersWithSpaces>1766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2026-03-18T02:08:00Z</dcterms:created>
  <dc:creator>WPS_1474421378</dc:creator>
  <cp:lastModifiedBy>WPS_1474421378</cp:lastModifiedBy>
  <dcterms:modified xsi:type="dcterms:W3CDTF">2026-03-18T02:26:19Z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2BACC8273EAA45EAB6AC4A3A7BB78860_11</vt:lpwstr>
  </property>
  <property fmtid="{D5CDD505-2E9C-101B-9397-08002B2CF9AE}" pid="4" name="KSOTemplateDocerSaveRecord">
    <vt:lpwstr>eyJoZGlkIjoiN2YxZjEwYWE2NGVkNjk4YzZkYjQ5NWUzYjNlOTQ2MGUiLCJ1c2VySWQiOiIyNDEzNTIzNzEifQ==</vt:lpwstr>
  </property>
</Properties>
</file>