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38" w:line="360" w:lineRule="exact"/>
        <w:jc w:val="left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附件1： 2024年苏州工业职业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技术学院面向社会长期招聘高层次人才岗位简介表</w:t>
      </w:r>
    </w:p>
    <w:tbl>
      <w:tblPr>
        <w:tblStyle w:val="5"/>
        <w:tblW w:w="136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2370"/>
        <w:gridCol w:w="2040"/>
        <w:gridCol w:w="1065"/>
        <w:gridCol w:w="900"/>
        <w:gridCol w:w="870"/>
        <w:gridCol w:w="1275"/>
        <w:gridCol w:w="2115"/>
        <w:gridCol w:w="20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简介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岗位类别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开考比例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其他条件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2024101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精密制造学院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从事专业教学和科研工作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专技类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机械工程类、兵工宇航类</w:t>
            </w: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具有相应学位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2024102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智能装备学院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从事专业教学和科研工作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专技类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机械工程类、兵工宇航类</w:t>
            </w: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具有相应学位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2024103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集成电路与通信学院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从事专业教学和科研工作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专技类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电子信息类、兵工宇航类</w:t>
            </w: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具有相应学位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2024104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经济管理学院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从事专业教学和科研工作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专技类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工商管理类</w:t>
            </w: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具有相应学位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2024105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建筑工程与艺术设计学院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从事专业教学和科研工作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专技类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建筑工程类</w:t>
            </w: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具有相应学位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2024106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汽车工程学院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从事专业教学和科研工作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专技类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机械工程类、交通工程类、基础理学类</w:t>
            </w: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具有相应学位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2024107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马克思主义学院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从事专业教学和科研工作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专技类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社会政治类、中文文秘类</w:t>
            </w: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具有相应学位</w:t>
            </w:r>
          </w:p>
        </w:tc>
      </w:tr>
    </w:tbl>
    <w:p>
      <w:pPr>
        <w:widowControl/>
        <w:spacing w:before="369" w:line="360" w:lineRule="atLeast"/>
        <w:jc w:val="both"/>
        <w:rPr>
          <w:rFonts w:ascii="宋体" w:hAnsi="宋体" w:eastAsia="宋体" w:cs="宋体"/>
          <w:kern w:val="0"/>
          <w:szCs w:val="21"/>
        </w:rPr>
      </w:pP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hMjBiNjQ3MTFjNDJjNzg0ZWQxOWJiZmYzZjRmNDMifQ=="/>
  </w:docVars>
  <w:rsids>
    <w:rsidRoot w:val="000C7F0C"/>
    <w:rsid w:val="000C7F0C"/>
    <w:rsid w:val="7CC1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  <w:style w:type="paragraph" w:customStyle="1" w:styleId="10">
    <w:name w:val="cjk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412</Words>
  <Characters>457</Characters>
  <Lines>3</Lines>
  <Paragraphs>1</Paragraphs>
  <TotalTime>5</TotalTime>
  <ScaleCrop>false</ScaleCrop>
  <LinksUpToDate>false</LinksUpToDate>
  <CharactersWithSpaces>458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2024-07-03T08:31:00Z</dcterms:created>
  <dc:creator>蔡晨怡</dc:creator>
  <cp:lastModifiedBy>Administrator</cp:lastModifiedBy>
  <dcterms:modified xsi:type="dcterms:W3CDTF">2024-07-04T01:51:57Z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2A8014DD707A4C28A3F1431F32786AAC_12</vt:lpwstr>
  </property>
</Properties>
</file>