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bookmarkStart w:id="0" w:name="OLE_LINK5"/>
      <w:r>
        <w:rPr>
          <w:rFonts w:hint="eastAsia" w:ascii="黑体" w:hAnsi="黑体" w:eastAsia="黑体" w:cs="黑体"/>
          <w:b/>
          <w:bCs w:val="0"/>
          <w:sz w:val="44"/>
          <w:szCs w:val="44"/>
        </w:rPr>
        <w:t>中国中医科学院2024年公开招聘专任教师岗位汇总表</w:t>
      </w:r>
    </w:p>
    <w:bookmarkEnd w:id="0"/>
    <w:tbl>
      <w:tblPr>
        <w:tblStyle w:val="2"/>
        <w:tblW w:w="14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55"/>
        <w:gridCol w:w="1185"/>
        <w:gridCol w:w="1725"/>
        <w:gridCol w:w="690"/>
        <w:gridCol w:w="1545"/>
        <w:gridCol w:w="3135"/>
        <w:gridCol w:w="3817"/>
      </w:tblGrid>
      <w:tr w14:paraId="1EED9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4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岗位编号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E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岗位类别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D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A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学历要求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1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专业要求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60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备注</w:t>
            </w:r>
          </w:p>
        </w:tc>
      </w:tr>
      <w:tr w14:paraId="03CA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6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  <w:bookmarkEnd w:id="1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6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bookmarkStart w:id="2" w:name="OLE_LINK3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  <w:bookmarkEnd w:id="2"/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解剖学教师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4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基础医学类，临床医学类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8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bookmarkStart w:id="3" w:name="OLE_LINK4"/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  <w:bookmarkEnd w:id="3"/>
          </w:p>
        </w:tc>
      </w:tr>
      <w:tr w14:paraId="5A89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1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E6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组织胚胎学教师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E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6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基础医</w:t>
            </w:r>
            <w:bookmarkStart w:id="4" w:name="_GoBack"/>
            <w:bookmarkEnd w:id="4"/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学类，临床医学类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E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  <w:tr w14:paraId="6220D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7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3E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E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心理学教师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F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1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4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心理学、教育学类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26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highlight w:val="yellow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  <w:tr w14:paraId="2378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2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D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1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1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思政课教师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8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B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D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哲学类，马克思主义理论类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A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  <w:tr w14:paraId="591F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8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E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7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A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计算机教师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硕士研究生及以上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计算机类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5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  <w:tr w14:paraId="1E47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EC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8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体育教师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硕士研究生及以上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体育学类，体育类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0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具有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国际级运动健将称号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的人员或在国际大型赛事中获得荣誉的运动员学历可放宽</w:t>
            </w:r>
          </w:p>
        </w:tc>
      </w:tr>
      <w:tr w14:paraId="5A06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D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2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B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艺术鉴赏教师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3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硕士研究生及以上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A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艺术学，教育类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3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具有省级以上工艺美术大师称号的学历可放宽</w:t>
            </w:r>
          </w:p>
        </w:tc>
      </w:tr>
      <w:tr w14:paraId="2408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0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E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D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大学语文与中国传统文化教师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8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0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中国语言文学类，哲学类，历史学类，中国史类，新闻传播大类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1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  <w:tr w14:paraId="51B8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中国中医科学院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4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专业技术岗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30"/>
                <w:szCs w:val="30"/>
                <w:lang w:bidi="ar"/>
              </w:rPr>
              <w:t>高等物理教师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5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kern w:val="0"/>
                <w:sz w:val="30"/>
                <w:szCs w:val="30"/>
                <w:lang w:bidi="ar"/>
              </w:rPr>
              <w:t>博士研究生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F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  <w:t>物理学类，化学类，教育类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具有副高级及以上专业技术职称资格的学历可适当放宽</w:t>
            </w:r>
          </w:p>
        </w:tc>
      </w:tr>
    </w:tbl>
    <w:p w14:paraId="255586FE">
      <w:pPr>
        <w:spacing w:line="600" w:lineRule="exact"/>
        <w:rPr>
          <w:rFonts w:hint="eastAsia" w:ascii="华文仿宋" w:hAnsi="华文仿宋" w:eastAsia="华文仿宋" w:cs="华文仿宋"/>
          <w:bCs/>
          <w:sz w:val="32"/>
          <w:szCs w:val="32"/>
        </w:rPr>
      </w:pPr>
    </w:p>
    <w:p w14:paraId="78DD9213"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0"/>
    <w:rsid w:val="00393400"/>
    <w:rsid w:val="00400EF8"/>
    <w:rsid w:val="0062048C"/>
    <w:rsid w:val="00A14FF8"/>
    <w:rsid w:val="00CF5974"/>
    <w:rsid w:val="00D013B7"/>
    <w:rsid w:val="49A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612</Characters>
  <Lines>5</Lines>
  <Paragraphs>1</Paragraphs>
  <TotalTime>3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2024-12-16T03:26:00Z</dcterms:created>
  <dc:creator>乐 王</dc:creator>
  <cp:lastModifiedBy>Administrator</cp:lastModifiedBy>
  <dcterms:modified xsi:type="dcterms:W3CDTF">2024-12-30T02:01:51Z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eyJoZGlkIjoiNDBhMjBiNjQ3MTFjNDJjNzg0ZWQxOWJiZmYzZjRmNDMifQ==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04585A59C2994BF39E048E42705FC2BA_12</vt:lpwstr>
  </property>
</Properties>
</file>