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left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 w:themeColor="text1"/>
          <w:spacing w:val="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right="0" w:right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1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1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弥勒市产业发展集团有限公司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right="0" w:right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1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1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2023年招聘计划表</w:t>
      </w:r>
    </w:p>
    <w:tbl>
      <w:tblPr>
        <w:tblStyle w:val="3"/>
        <w:tblpPr w:leftFromText="180" w:rightFromText="180" w:vertAnchor="text" w:horzAnchor="page" w:tblpX="490" w:tblpY="420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75"/>
        <w:gridCol w:w="810"/>
        <w:gridCol w:w="1005"/>
        <w:gridCol w:w="825"/>
        <w:gridCol w:w="1890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招聘</w:t>
            </w: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岗位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招聘人数（人）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年龄</w:t>
            </w: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要求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学历要求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</w:rPr>
              <w:t>要求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0"/>
                <w:lang w:val="en-US" w:eastAsia="zh-CN"/>
              </w:rPr>
              <w:t>岗位具体要求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融资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专员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35周岁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以内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（特别优秀者可适当放宽）</w:t>
            </w: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  <w:t>本科及以上</w:t>
            </w:r>
          </w:p>
        </w:tc>
        <w:tc>
          <w:tcPr>
            <w:tcW w:w="189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  <w:t>经济、金融、财会类</w:t>
            </w:r>
          </w:p>
        </w:tc>
        <w:tc>
          <w:tcPr>
            <w:tcW w:w="5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1.持有银行相关从业资格证书；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2.具有1年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以上金融机构融资、信贷工作经验；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3.熟练掌握国家财务、税收、金融相关知识，熟悉信贷操作流程、融资政策；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4.具备一定的公文写作能力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能熟练使用office办公软件。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债券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专员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5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会计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  <w:t>本科及以上</w:t>
            </w:r>
          </w:p>
        </w:tc>
        <w:tc>
          <w:tcPr>
            <w:tcW w:w="189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  <w:t>财务管理、会计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  <w:lang w:val="en-US" w:eastAsia="zh-CN"/>
              </w:rPr>
              <w:t>类</w:t>
            </w:r>
          </w:p>
        </w:tc>
        <w:tc>
          <w:tcPr>
            <w:tcW w:w="5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1.持有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初级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会计及以上职称证书；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2.具有1年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以上财务相关工作经验；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3.熟悉掌握会计准则、财务核算专业知识，了解相关法律法规，具备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较强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的公文写作能力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能熟练使用office办公软件及主流财务软件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出纳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5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群工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主管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  <w:t>本科及以上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  <w:t>汉语言文学、管理学、政法类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1.具有1年及以上机关事业单位或国企行政相关工作经验；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2.中共党员，掌握党务及群团工作各项规章制度、工作流程；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3.具备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较强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的公文写作能力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能熟练使用office办公软件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安全管理专员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  <w:t>本科及以上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1"/>
              </w:rPr>
              <w:t>安全管理类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1.具有安全管理相关工作经验；                                                  2.掌握安全生产管理专业知识和国家安全生产的法律法规;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3.熟悉安全生产规范，能对企业的安全生产相关规章制度进行修改和完善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具有较强的安全防范意识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4.具备一定的公文写作能力，能熟练使用office办公软件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资产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管理员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大专及以上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经济、管理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农学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类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1.熟悉国有资产相关法律、法规，有国有资产管理、不动产经营与管理等工作经验者可优先考虑；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2.有较强的文字写作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编辑能力，能熟练使用office办公软件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招聘</w:t>
            </w: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招聘</w:t>
            </w: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人数（人）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学历要求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黑体_GBK" w:hAnsi="方正黑体_GBK" w:eastAsia="方正黑体_GBK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b/>
                <w:color w:val="000000"/>
                <w:sz w:val="22"/>
                <w:szCs w:val="22"/>
                <w:lang w:val="en-US" w:eastAsia="zh-CN"/>
              </w:rPr>
              <w:t>岗位具体要求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供应链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专员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35周岁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以内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（特别优秀者可适当放宽）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及以上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物流管理、国际贸易、工商管理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类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1.具有1年及以上供应链计划、仓储、配送、履约等相关工作经验，能协调物资供应到货；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2.具备一定的公文写作能力，能熟练使用office办公软件；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3.具备较强的统筹规划能力、风险评估能力。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运营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 xml:space="preserve">管理部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 xml:space="preserve"> 副部长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1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大专及以上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经济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财会、法学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工商管理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管理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学类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1.具有3年及以上资产运营管理相关工作经验；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2.熟悉公司法、公司框架和股权结构，具备一定的财务知识和土地使用权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土地规划方面常识，能独立完成公司资产的登记、盘点、分类等动态管理工作；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3.熟悉资产日常管理、股权划转和交易流程，具备较强的资产出租、划转、收购、分析等管理能力；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4.具备一定的写作能力，能熟练使用office办公软件，独立完成各类公文撰写、合同拟定等文字性工作。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黑体_GBK" w:hAnsi="方正黑体_GBK" w:eastAsia="方正黑体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程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管理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>员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  <w:szCs w:val="16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18"/>
                <w:szCs w:val="16"/>
                <w:lang w:val="en-US" w:eastAsia="zh-CN"/>
              </w:rPr>
              <w:t>水利水电</w:t>
            </w:r>
            <w:r>
              <w:rPr>
                <w:rFonts w:hint="eastAsia" w:ascii="仿宋_GB2312" w:hAnsi="仿宋_GB2312" w:eastAsia="仿宋_GB2312"/>
                <w:color w:val="000000"/>
                <w:sz w:val="18"/>
                <w:szCs w:val="16"/>
                <w:lang w:eastAsia="zh-CN"/>
              </w:rPr>
              <w:t>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大专及以上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水利水电工程、工程管理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类 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持有助理工程师及以上职称或二级建造师及以上资格证书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者优先考虑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 xml:space="preserve">；              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2.具有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1-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3年项目管理工作经验；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熟练使用 CAD 及其他办公软件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 xml:space="preserve">                                                     4.具备良好的管理能力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执行力。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程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管理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>员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大专及以上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土木工程、水利水电工程、建筑工程、市政工程、工程管理、工程造价、规划设计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类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熟悉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施工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管理相关工作流程和要点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熟练掌握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施工合同及图纸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运用；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熟练使用 CAD 及其他办公软件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具备一定的公文写作能力，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有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良好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的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管理能力及执行力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黑体_GBK" w:hAnsi="方正黑体_GBK" w:eastAsia="方正黑体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运营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管理员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1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大专及以上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经济、工程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工商管理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管理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学类</w:t>
            </w:r>
          </w:p>
        </w:tc>
        <w:tc>
          <w:tcPr>
            <w:tcW w:w="5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1.具有资产运营管理相关工作经验；                                             2.熟悉公司法、土地使用权及土地规划方面法律法规和国有资产划转、交易流程；                             3.具备一定的数据分析、风险识别和公文写作的能力，能熟练使用office办公软件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ODcwZjljNzJlYzI3MmU5MzZjNGYyZGE2OWM3MzYifQ=="/>
  </w:docVars>
  <w:rsids>
    <w:rsidRoot w:val="443E4607"/>
    <w:rsid w:val="443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2023-02-27T05:41:00Z</dcterms:created>
  <dc:creator>t</dc:creator>
  <cp:lastModifiedBy>t</cp:lastModifiedBy>
  <dcterms:modified xsi:type="dcterms:W3CDTF">2023-02-27T05:43:29Z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955EB21C236941729CFEE22F50C616E0</vt:lpwstr>
  </property>
</Properties>
</file>