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7F3DB">
      <w:pPr>
        <w:autoSpaceDE w:val="0"/>
        <w:autoSpaceDN w:val="0"/>
        <w:adjustRightInd w:val="0"/>
        <w:spacing w:line="332" w:lineRule="exact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  <w:t>4</w:t>
      </w:r>
    </w:p>
    <w:p w14:paraId="01DF12E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-11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pacing w:val="-11"/>
          <w:sz w:val="44"/>
          <w:szCs w:val="44"/>
          <w:lang w:eastAsia="zh-CN"/>
        </w:rPr>
        <w:t>试用期结束转正</w:t>
      </w:r>
      <w:r>
        <w:rPr>
          <w:rFonts w:hint="default" w:ascii="Times New Roman" w:hAnsi="Times New Roman" w:eastAsia="方正小标宋简体" w:cs="Times New Roman"/>
          <w:color w:val="000000"/>
          <w:spacing w:val="-11"/>
          <w:sz w:val="44"/>
          <w:szCs w:val="44"/>
        </w:rPr>
        <w:t>录用考核科目、内容</w:t>
      </w:r>
    </w:p>
    <w:tbl>
      <w:tblPr>
        <w:tblStyle w:val="3"/>
        <w:tblpPr w:leftFromText="180" w:rightFromText="180" w:vertAnchor="page" w:horzAnchor="page" w:tblpX="1593" w:tblpY="28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485"/>
        <w:gridCol w:w="5445"/>
        <w:gridCol w:w="1175"/>
      </w:tblGrid>
      <w:tr w14:paraId="399D3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noWrap w:val="0"/>
            <w:vAlign w:val="center"/>
          </w:tcPr>
          <w:p w14:paraId="36018F21">
            <w:pPr>
              <w:autoSpaceDE w:val="0"/>
              <w:autoSpaceDN w:val="0"/>
              <w:adjustRightInd w:val="0"/>
              <w:spacing w:before="230" w:line="234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485" w:type="dxa"/>
            <w:noWrap w:val="0"/>
            <w:vAlign w:val="center"/>
          </w:tcPr>
          <w:p w14:paraId="37D93DA9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考核科目</w:t>
            </w:r>
          </w:p>
        </w:tc>
        <w:tc>
          <w:tcPr>
            <w:tcW w:w="5445" w:type="dxa"/>
            <w:noWrap w:val="0"/>
            <w:vAlign w:val="center"/>
          </w:tcPr>
          <w:p w14:paraId="3860D7D0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内  容</w:t>
            </w:r>
          </w:p>
        </w:tc>
        <w:tc>
          <w:tcPr>
            <w:tcW w:w="1175" w:type="dxa"/>
            <w:noWrap w:val="0"/>
            <w:vAlign w:val="center"/>
          </w:tcPr>
          <w:p w14:paraId="5BF90C28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标准</w:t>
            </w:r>
          </w:p>
        </w:tc>
      </w:tr>
      <w:tr w14:paraId="2BEF2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exact"/>
        </w:trPr>
        <w:tc>
          <w:tcPr>
            <w:tcW w:w="925" w:type="dxa"/>
            <w:noWrap w:val="0"/>
            <w:vAlign w:val="center"/>
          </w:tcPr>
          <w:p w14:paraId="50A5F2F7">
            <w:pPr>
              <w:autoSpaceDE w:val="0"/>
              <w:autoSpaceDN w:val="0"/>
              <w:adjustRightInd w:val="0"/>
              <w:spacing w:before="230" w:line="234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1</w:t>
            </w:r>
          </w:p>
        </w:tc>
        <w:tc>
          <w:tcPr>
            <w:tcW w:w="1485" w:type="dxa"/>
            <w:noWrap w:val="0"/>
            <w:vAlign w:val="center"/>
          </w:tcPr>
          <w:p w14:paraId="5C7F7897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pacing w:val="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fldChar w:fldCharType="begin"/>
            </w:r>
            <w:r>
              <w:rPr>
                <w:rFonts w:hint="default" w:ascii="Times New Roman" w:hAnsi="Times New Roman" w:eastAsia="仿宋" w:cs="Times New Roman"/>
                <w:szCs w:val="21"/>
              </w:rPr>
              <w:instrText xml:space="preserve">HYPERLINK  \l "br10"</w:instrText>
            </w:r>
            <w:r>
              <w:rPr>
                <w:rFonts w:hint="default" w:ascii="Times New Roman" w:hAnsi="Times New Roman" w:eastAsia="仿宋" w:cs="Times New Roman"/>
                <w:szCs w:val="21"/>
              </w:rPr>
              <w:fldChar w:fldCharType="separate"/>
            </w: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业务理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fldChar w:fldCharType="end"/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论</w:t>
            </w:r>
          </w:p>
        </w:tc>
        <w:tc>
          <w:tcPr>
            <w:tcW w:w="5445" w:type="dxa"/>
            <w:noWrap w:val="0"/>
            <w:vAlign w:val="center"/>
          </w:tcPr>
          <w:p w14:paraId="5B12B0AC">
            <w:pPr>
              <w:rPr>
                <w:rFonts w:hint="default" w:ascii="Times New Roman" w:hAnsi="Times New Roman" w:eastAsia="仿宋" w:cs="Times New Roman"/>
                <w:color w:val="000000"/>
                <w:spacing w:val="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政府专职消防员职业技能鉴定、《九江市单编政府专职消防队管理规定（试行）》《九江市政府专职消防员请休假管理规定（试行）》、作战训练安全。</w:t>
            </w:r>
          </w:p>
        </w:tc>
        <w:tc>
          <w:tcPr>
            <w:tcW w:w="1175" w:type="dxa"/>
            <w:noWrap w:val="0"/>
            <w:vAlign w:val="center"/>
          </w:tcPr>
          <w:p w14:paraId="16A52AC6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百分制</w:t>
            </w:r>
          </w:p>
        </w:tc>
      </w:tr>
      <w:tr w14:paraId="2B667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noWrap w:val="0"/>
            <w:vAlign w:val="center"/>
          </w:tcPr>
          <w:p w14:paraId="68432B83">
            <w:pPr>
              <w:autoSpaceDE w:val="0"/>
              <w:autoSpaceDN w:val="0"/>
              <w:adjustRightInd w:val="0"/>
              <w:spacing w:before="230" w:line="234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2</w:t>
            </w:r>
          </w:p>
        </w:tc>
        <w:tc>
          <w:tcPr>
            <w:tcW w:w="1485" w:type="dxa"/>
            <w:vMerge w:val="restart"/>
            <w:noWrap w:val="0"/>
            <w:vAlign w:val="center"/>
          </w:tcPr>
          <w:p w14:paraId="2C5C1C21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pacing w:val="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1"/>
                <w:szCs w:val="21"/>
              </w:rPr>
              <w:t>体能考核</w:t>
            </w:r>
          </w:p>
        </w:tc>
        <w:tc>
          <w:tcPr>
            <w:tcW w:w="5445" w:type="dxa"/>
            <w:noWrap w:val="0"/>
            <w:vAlign w:val="center"/>
          </w:tcPr>
          <w:p w14:paraId="2D6BA92A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pacing w:val="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1"/>
                <w:szCs w:val="21"/>
              </w:rPr>
              <w:t>5000</w:t>
            </w: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米</w:t>
            </w:r>
          </w:p>
        </w:tc>
        <w:tc>
          <w:tcPr>
            <w:tcW w:w="1175" w:type="dxa"/>
            <w:noWrap w:val="0"/>
            <w:vAlign w:val="center"/>
          </w:tcPr>
          <w:p w14:paraId="37D646CF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附件2</w:t>
            </w:r>
          </w:p>
        </w:tc>
      </w:tr>
      <w:tr w14:paraId="06323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noWrap w:val="0"/>
            <w:vAlign w:val="center"/>
          </w:tcPr>
          <w:p w14:paraId="6BDED8FD">
            <w:pPr>
              <w:autoSpaceDE w:val="0"/>
              <w:autoSpaceDN w:val="0"/>
              <w:adjustRightInd w:val="0"/>
              <w:spacing w:before="230" w:line="234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3</w:t>
            </w:r>
          </w:p>
        </w:tc>
        <w:tc>
          <w:tcPr>
            <w:tcW w:w="1485" w:type="dxa"/>
            <w:vMerge w:val="continue"/>
            <w:noWrap w:val="0"/>
            <w:vAlign w:val="center"/>
          </w:tcPr>
          <w:p w14:paraId="7A97A854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445" w:type="dxa"/>
            <w:noWrap w:val="0"/>
            <w:vAlign w:val="center"/>
          </w:tcPr>
          <w:p w14:paraId="5B704DCD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3000米</w:t>
            </w:r>
          </w:p>
        </w:tc>
        <w:tc>
          <w:tcPr>
            <w:tcW w:w="1175" w:type="dxa"/>
            <w:noWrap w:val="0"/>
            <w:vAlign w:val="center"/>
          </w:tcPr>
          <w:p w14:paraId="3C11A050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附件3</w:t>
            </w:r>
          </w:p>
        </w:tc>
      </w:tr>
      <w:tr w14:paraId="522D8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noWrap w:val="0"/>
            <w:vAlign w:val="center"/>
          </w:tcPr>
          <w:p w14:paraId="096C8473">
            <w:pPr>
              <w:autoSpaceDE w:val="0"/>
              <w:autoSpaceDN w:val="0"/>
              <w:adjustRightInd w:val="0"/>
              <w:spacing w:before="230" w:line="234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4</w:t>
            </w:r>
          </w:p>
        </w:tc>
        <w:tc>
          <w:tcPr>
            <w:tcW w:w="1485" w:type="dxa"/>
            <w:vMerge w:val="continue"/>
            <w:noWrap w:val="0"/>
            <w:vAlign w:val="center"/>
          </w:tcPr>
          <w:p w14:paraId="6FD4A526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445" w:type="dxa"/>
            <w:noWrap w:val="0"/>
            <w:vAlign w:val="center"/>
          </w:tcPr>
          <w:p w14:paraId="2F6BF488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仰卧起坐</w:t>
            </w:r>
          </w:p>
        </w:tc>
        <w:tc>
          <w:tcPr>
            <w:tcW w:w="1175" w:type="dxa"/>
            <w:vMerge w:val="restart"/>
            <w:noWrap w:val="0"/>
            <w:vAlign w:val="center"/>
          </w:tcPr>
          <w:p w14:paraId="012DEB6F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附件4-5</w:t>
            </w:r>
          </w:p>
        </w:tc>
      </w:tr>
      <w:tr w14:paraId="158D5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noWrap w:val="0"/>
            <w:vAlign w:val="center"/>
          </w:tcPr>
          <w:p w14:paraId="56F0B3F4">
            <w:pPr>
              <w:autoSpaceDE w:val="0"/>
              <w:autoSpaceDN w:val="0"/>
              <w:adjustRightInd w:val="0"/>
              <w:spacing w:before="230" w:line="234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5</w:t>
            </w:r>
          </w:p>
        </w:tc>
        <w:tc>
          <w:tcPr>
            <w:tcW w:w="1485" w:type="dxa"/>
            <w:vMerge w:val="continue"/>
            <w:noWrap w:val="0"/>
            <w:vAlign w:val="center"/>
          </w:tcPr>
          <w:p w14:paraId="168053EF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445" w:type="dxa"/>
            <w:noWrap w:val="0"/>
            <w:vAlign w:val="center"/>
          </w:tcPr>
          <w:p w14:paraId="4CB7E847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俯卧撑</w:t>
            </w:r>
          </w:p>
        </w:tc>
        <w:tc>
          <w:tcPr>
            <w:tcW w:w="1175" w:type="dxa"/>
            <w:vMerge w:val="continue"/>
            <w:noWrap w:val="0"/>
            <w:vAlign w:val="center"/>
          </w:tcPr>
          <w:p w14:paraId="12F905CD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 w14:paraId="1E1F3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noWrap w:val="0"/>
            <w:vAlign w:val="center"/>
          </w:tcPr>
          <w:p w14:paraId="5F8830D9">
            <w:pPr>
              <w:autoSpaceDE w:val="0"/>
              <w:autoSpaceDN w:val="0"/>
              <w:adjustRightInd w:val="0"/>
              <w:spacing w:before="230" w:line="234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6</w:t>
            </w:r>
          </w:p>
        </w:tc>
        <w:tc>
          <w:tcPr>
            <w:tcW w:w="1485" w:type="dxa"/>
            <w:vMerge w:val="continue"/>
            <w:noWrap w:val="0"/>
            <w:vAlign w:val="center"/>
          </w:tcPr>
          <w:p w14:paraId="722ABA34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445" w:type="dxa"/>
            <w:noWrap w:val="0"/>
            <w:vAlign w:val="center"/>
          </w:tcPr>
          <w:p w14:paraId="2028CB6B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单杠引体向上</w:t>
            </w:r>
          </w:p>
        </w:tc>
        <w:tc>
          <w:tcPr>
            <w:tcW w:w="1175" w:type="dxa"/>
            <w:vMerge w:val="restart"/>
            <w:noWrap w:val="0"/>
            <w:vAlign w:val="center"/>
          </w:tcPr>
          <w:p w14:paraId="09F63919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附件6-10</w:t>
            </w:r>
          </w:p>
          <w:p w14:paraId="2D8867BB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 w14:paraId="2E445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noWrap w:val="0"/>
            <w:vAlign w:val="center"/>
          </w:tcPr>
          <w:p w14:paraId="1FB57445">
            <w:pPr>
              <w:autoSpaceDE w:val="0"/>
              <w:autoSpaceDN w:val="0"/>
              <w:adjustRightInd w:val="0"/>
              <w:spacing w:before="230" w:line="234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7</w:t>
            </w:r>
          </w:p>
        </w:tc>
        <w:tc>
          <w:tcPr>
            <w:tcW w:w="1485" w:type="dxa"/>
            <w:vMerge w:val="continue"/>
            <w:noWrap w:val="0"/>
            <w:vAlign w:val="center"/>
          </w:tcPr>
          <w:p w14:paraId="053DDB62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445" w:type="dxa"/>
            <w:noWrap w:val="0"/>
            <w:vAlign w:val="center"/>
          </w:tcPr>
          <w:p w14:paraId="463EA420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单杠卷身上</w:t>
            </w:r>
          </w:p>
        </w:tc>
        <w:tc>
          <w:tcPr>
            <w:tcW w:w="1175" w:type="dxa"/>
            <w:vMerge w:val="continue"/>
            <w:noWrap w:val="0"/>
            <w:vAlign w:val="center"/>
          </w:tcPr>
          <w:p w14:paraId="2A4154E8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 w14:paraId="535AA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noWrap w:val="0"/>
            <w:vAlign w:val="center"/>
          </w:tcPr>
          <w:p w14:paraId="4E7959A1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8</w:t>
            </w:r>
          </w:p>
        </w:tc>
        <w:tc>
          <w:tcPr>
            <w:tcW w:w="1485" w:type="dxa"/>
            <w:vMerge w:val="continue"/>
            <w:noWrap w:val="0"/>
            <w:vAlign w:val="center"/>
          </w:tcPr>
          <w:p w14:paraId="648ADBA4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445" w:type="dxa"/>
            <w:noWrap w:val="0"/>
            <w:vAlign w:val="center"/>
          </w:tcPr>
          <w:p w14:paraId="4D4095E2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4楼攀爬绳</w:t>
            </w:r>
          </w:p>
        </w:tc>
        <w:tc>
          <w:tcPr>
            <w:tcW w:w="1175" w:type="dxa"/>
            <w:vMerge w:val="continue"/>
            <w:noWrap w:val="0"/>
            <w:vAlign w:val="center"/>
          </w:tcPr>
          <w:p w14:paraId="06BEF295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 w14:paraId="248D8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noWrap w:val="0"/>
            <w:vAlign w:val="center"/>
          </w:tcPr>
          <w:p w14:paraId="6068787C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9</w:t>
            </w:r>
          </w:p>
        </w:tc>
        <w:tc>
          <w:tcPr>
            <w:tcW w:w="1485" w:type="dxa"/>
            <w:vMerge w:val="continue"/>
            <w:noWrap w:val="0"/>
            <w:vAlign w:val="center"/>
          </w:tcPr>
          <w:p w14:paraId="73F64360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445" w:type="dxa"/>
            <w:noWrap w:val="0"/>
            <w:vAlign w:val="center"/>
          </w:tcPr>
          <w:p w14:paraId="71D5D5EE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双杆臂屈伸</w:t>
            </w:r>
          </w:p>
        </w:tc>
        <w:tc>
          <w:tcPr>
            <w:tcW w:w="1175" w:type="dxa"/>
            <w:vMerge w:val="continue"/>
            <w:noWrap w:val="0"/>
            <w:vAlign w:val="center"/>
          </w:tcPr>
          <w:p w14:paraId="69B14925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 w14:paraId="4F108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noWrap w:val="0"/>
            <w:vAlign w:val="center"/>
          </w:tcPr>
          <w:p w14:paraId="11A2A982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10</w:t>
            </w:r>
          </w:p>
        </w:tc>
        <w:tc>
          <w:tcPr>
            <w:tcW w:w="1485" w:type="dxa"/>
            <w:vMerge w:val="continue"/>
            <w:noWrap w:val="0"/>
            <w:vAlign w:val="center"/>
          </w:tcPr>
          <w:p w14:paraId="7F89073F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445" w:type="dxa"/>
            <w:noWrap w:val="0"/>
            <w:vAlign w:val="center"/>
          </w:tcPr>
          <w:p w14:paraId="4CDFADFF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百米负重</w:t>
            </w:r>
          </w:p>
        </w:tc>
        <w:tc>
          <w:tcPr>
            <w:tcW w:w="1175" w:type="dxa"/>
            <w:vMerge w:val="continue"/>
            <w:noWrap w:val="0"/>
            <w:vAlign w:val="center"/>
          </w:tcPr>
          <w:p w14:paraId="18262CD5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 w14:paraId="52538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noWrap w:val="0"/>
            <w:vAlign w:val="center"/>
          </w:tcPr>
          <w:p w14:paraId="481AB1C5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11</w:t>
            </w:r>
          </w:p>
        </w:tc>
        <w:tc>
          <w:tcPr>
            <w:tcW w:w="1485" w:type="dxa"/>
            <w:vMerge w:val="restart"/>
            <w:noWrap w:val="0"/>
            <w:vAlign w:val="center"/>
          </w:tcPr>
          <w:p w14:paraId="3AEF11E3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技能考核</w:t>
            </w:r>
          </w:p>
        </w:tc>
        <w:tc>
          <w:tcPr>
            <w:tcW w:w="6620" w:type="dxa"/>
            <w:gridSpan w:val="2"/>
            <w:noWrap w:val="0"/>
            <w:vAlign w:val="center"/>
          </w:tcPr>
          <w:p w14:paraId="6F17DF58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  <w:lang w:eastAsia="zh-CN"/>
              </w:rPr>
              <w:t>消防员</w:t>
            </w: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队列</w:t>
            </w:r>
          </w:p>
        </w:tc>
      </w:tr>
      <w:tr w14:paraId="67D12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noWrap w:val="0"/>
            <w:vAlign w:val="center"/>
          </w:tcPr>
          <w:p w14:paraId="43A2AC70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12</w:t>
            </w:r>
          </w:p>
        </w:tc>
        <w:tc>
          <w:tcPr>
            <w:tcW w:w="1485" w:type="dxa"/>
            <w:vMerge w:val="continue"/>
            <w:noWrap w:val="0"/>
            <w:vAlign w:val="center"/>
          </w:tcPr>
          <w:p w14:paraId="66167B5E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6620" w:type="dxa"/>
            <w:gridSpan w:val="2"/>
            <w:noWrap w:val="0"/>
            <w:vAlign w:val="center"/>
          </w:tcPr>
          <w:p w14:paraId="4C2C4FF0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两盘水带连接</w:t>
            </w:r>
          </w:p>
        </w:tc>
      </w:tr>
      <w:tr w14:paraId="50E58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noWrap w:val="0"/>
            <w:vAlign w:val="center"/>
          </w:tcPr>
          <w:p w14:paraId="4935BB62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13</w:t>
            </w:r>
          </w:p>
        </w:tc>
        <w:tc>
          <w:tcPr>
            <w:tcW w:w="1485" w:type="dxa"/>
            <w:vMerge w:val="continue"/>
            <w:noWrap w:val="0"/>
            <w:vAlign w:val="center"/>
          </w:tcPr>
          <w:p w14:paraId="2277AACC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6620" w:type="dxa"/>
            <w:gridSpan w:val="2"/>
            <w:noWrap w:val="0"/>
            <w:vAlign w:val="center"/>
          </w:tcPr>
          <w:p w14:paraId="63FAB4D8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六米拉梯操作</w:t>
            </w:r>
          </w:p>
        </w:tc>
      </w:tr>
      <w:tr w14:paraId="3B964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noWrap w:val="0"/>
            <w:vAlign w:val="center"/>
          </w:tcPr>
          <w:p w14:paraId="3C69C612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14</w:t>
            </w:r>
          </w:p>
        </w:tc>
        <w:tc>
          <w:tcPr>
            <w:tcW w:w="1485" w:type="dxa"/>
            <w:vMerge w:val="continue"/>
            <w:noWrap w:val="0"/>
            <w:vAlign w:val="center"/>
          </w:tcPr>
          <w:p w14:paraId="4A824DDF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6620" w:type="dxa"/>
            <w:gridSpan w:val="2"/>
            <w:noWrap w:val="0"/>
            <w:vAlign w:val="center"/>
          </w:tcPr>
          <w:p w14:paraId="2F5D173A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垂直铺设水带</w:t>
            </w:r>
          </w:p>
        </w:tc>
      </w:tr>
      <w:tr w14:paraId="30E93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noWrap w:val="0"/>
            <w:vAlign w:val="center"/>
          </w:tcPr>
          <w:p w14:paraId="2CBFB61E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15</w:t>
            </w:r>
          </w:p>
        </w:tc>
        <w:tc>
          <w:tcPr>
            <w:tcW w:w="1485" w:type="dxa"/>
            <w:vMerge w:val="continue"/>
            <w:noWrap w:val="0"/>
            <w:vAlign w:val="center"/>
          </w:tcPr>
          <w:p w14:paraId="5F71D596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6620" w:type="dxa"/>
            <w:gridSpan w:val="2"/>
            <w:noWrap w:val="0"/>
            <w:vAlign w:val="center"/>
          </w:tcPr>
          <w:p w14:paraId="56F31E66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原地着灭火救援服</w:t>
            </w:r>
          </w:p>
        </w:tc>
      </w:tr>
      <w:tr w14:paraId="428E6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noWrap w:val="0"/>
            <w:vAlign w:val="center"/>
          </w:tcPr>
          <w:p w14:paraId="076B026E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16</w:t>
            </w:r>
          </w:p>
        </w:tc>
        <w:tc>
          <w:tcPr>
            <w:tcW w:w="1485" w:type="dxa"/>
            <w:vMerge w:val="continue"/>
            <w:noWrap w:val="0"/>
            <w:vAlign w:val="center"/>
          </w:tcPr>
          <w:p w14:paraId="2E607C0C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6620" w:type="dxa"/>
            <w:gridSpan w:val="2"/>
            <w:noWrap w:val="0"/>
            <w:vAlign w:val="center"/>
          </w:tcPr>
          <w:p w14:paraId="4C8E5742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原地佩戴空气呼吸器</w:t>
            </w:r>
          </w:p>
        </w:tc>
      </w:tr>
      <w:tr w14:paraId="7E0D5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noWrap w:val="0"/>
            <w:vAlign w:val="center"/>
          </w:tcPr>
          <w:p w14:paraId="2BA979FC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17</w:t>
            </w:r>
          </w:p>
        </w:tc>
        <w:tc>
          <w:tcPr>
            <w:tcW w:w="1485" w:type="dxa"/>
            <w:vMerge w:val="continue"/>
            <w:noWrap w:val="0"/>
            <w:vAlign w:val="center"/>
          </w:tcPr>
          <w:p w14:paraId="29814AA1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6620" w:type="dxa"/>
            <w:gridSpan w:val="2"/>
            <w:noWrap w:val="0"/>
            <w:vAlign w:val="center"/>
          </w:tcPr>
          <w:p w14:paraId="06F1B93A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手抬机动泵的讲解与操作</w:t>
            </w:r>
          </w:p>
        </w:tc>
      </w:tr>
      <w:tr w14:paraId="26F41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noWrap w:val="0"/>
            <w:vAlign w:val="center"/>
          </w:tcPr>
          <w:p w14:paraId="44A517E4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18</w:t>
            </w:r>
          </w:p>
        </w:tc>
        <w:tc>
          <w:tcPr>
            <w:tcW w:w="1485" w:type="dxa"/>
            <w:vMerge w:val="continue"/>
            <w:noWrap w:val="0"/>
            <w:vAlign w:val="center"/>
          </w:tcPr>
          <w:p w14:paraId="385662CF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6620" w:type="dxa"/>
            <w:gridSpan w:val="2"/>
            <w:noWrap w:val="0"/>
            <w:vAlign w:val="center"/>
          </w:tcPr>
          <w:p w14:paraId="5458D79B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沿六米拉梯铺设水带</w:t>
            </w:r>
          </w:p>
        </w:tc>
      </w:tr>
      <w:tr w14:paraId="397C6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noWrap w:val="0"/>
            <w:vAlign w:val="center"/>
          </w:tcPr>
          <w:p w14:paraId="01CD3CC0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备注</w:t>
            </w:r>
          </w:p>
        </w:tc>
        <w:tc>
          <w:tcPr>
            <w:tcW w:w="1485" w:type="dxa"/>
            <w:noWrap w:val="0"/>
            <w:vAlign w:val="center"/>
          </w:tcPr>
          <w:p w14:paraId="7B2BCB10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6620" w:type="dxa"/>
            <w:gridSpan w:val="2"/>
            <w:noWrap w:val="0"/>
            <w:vAlign w:val="center"/>
          </w:tcPr>
          <w:p w14:paraId="02358B73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年度考核项目支队另行制定</w:t>
            </w:r>
          </w:p>
        </w:tc>
      </w:tr>
    </w:tbl>
    <w:p w14:paraId="0017DEE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-11"/>
          <w:sz w:val="44"/>
          <w:szCs w:val="44"/>
        </w:rPr>
      </w:pPr>
      <w:bookmarkStart w:id="0" w:name="_GoBack"/>
      <w:bookmarkEnd w:id="0"/>
    </w:p>
    <w:p w14:paraId="7541FBE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-11"/>
          <w:sz w:val="44"/>
          <w:szCs w:val="44"/>
        </w:rPr>
      </w:pPr>
    </w:p>
    <w:p w14:paraId="04D0A39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-11"/>
          <w:sz w:val="44"/>
          <w:szCs w:val="44"/>
        </w:rPr>
      </w:pPr>
    </w:p>
    <w:p w14:paraId="6C358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-11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pacing w:val="-11"/>
          <w:sz w:val="44"/>
          <w:szCs w:val="44"/>
          <w:lang w:eastAsia="zh-CN"/>
        </w:rPr>
        <w:t>试用期结束转正</w:t>
      </w:r>
      <w:r>
        <w:rPr>
          <w:rFonts w:hint="default" w:ascii="Times New Roman" w:hAnsi="Times New Roman" w:eastAsia="方正小标宋简体" w:cs="Times New Roman"/>
          <w:color w:val="000000"/>
          <w:spacing w:val="-11"/>
          <w:sz w:val="44"/>
          <w:szCs w:val="44"/>
        </w:rPr>
        <w:t>录用考核评定规定</w:t>
      </w:r>
    </w:p>
    <w:p w14:paraId="4C85FE6B">
      <w:pPr>
        <w:pStyle w:val="2"/>
        <w:rPr>
          <w:rFonts w:hint="default"/>
        </w:rPr>
      </w:pPr>
    </w:p>
    <w:p w14:paraId="2C1A375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-11"/>
          <w:sz w:val="44"/>
          <w:szCs w:val="44"/>
          <w:lang w:eastAsia="zh-CN"/>
        </w:rPr>
      </w:pPr>
    </w:p>
    <w:p w14:paraId="2D47BF65">
      <w:pPr>
        <w:autoSpaceDE w:val="0"/>
        <w:autoSpaceDN w:val="0"/>
        <w:adjustRightInd w:val="0"/>
        <w:spacing w:line="600" w:lineRule="exact"/>
        <w:ind w:firstLine="600"/>
        <w:jc w:val="left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eastAsia="zh-CN"/>
        </w:rPr>
        <w:t>政府专职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  <w:t>消防员：</w:t>
      </w:r>
    </w:p>
    <w:p w14:paraId="6E9949D7">
      <w:pPr>
        <w:autoSpaceDE w:val="0"/>
        <w:autoSpaceDN w:val="0"/>
        <w:adjustRightInd w:val="0"/>
        <w:spacing w:line="600" w:lineRule="exact"/>
        <w:ind w:firstLine="600"/>
        <w:jc w:val="left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考核项目：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1.</w:t>
      </w:r>
      <w:r>
        <w:rPr>
          <w:rFonts w:hint="default" w:ascii="Times New Roman" w:hAnsi="Times New Roman" w:eastAsia="仿宋" w:cs="Times New Roman"/>
          <w:color w:val="000000"/>
          <w:spacing w:val="1"/>
          <w:sz w:val="32"/>
          <w:szCs w:val="32"/>
        </w:rPr>
        <w:t>业务理论考试；2.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5000米；3.体能考核中任选其余2项；4.技能考核抽考3项。</w:t>
      </w:r>
    </w:p>
    <w:p w14:paraId="4E585F58"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结果评定：</w:t>
      </w:r>
      <w:r>
        <w:rPr>
          <w:rFonts w:hint="default" w:ascii="Times New Roman" w:hAnsi="Times New Roman" w:eastAsia="仿宋" w:cs="Times New Roman"/>
          <w:color w:val="000000"/>
          <w:spacing w:val="1"/>
          <w:sz w:val="32"/>
          <w:szCs w:val="32"/>
        </w:rPr>
        <w:t>业务理论考试60分以上的；体能项目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按照年龄分组60分及以上的；技能考核合格者，综合评定为合格。</w:t>
      </w:r>
    </w:p>
    <w:p w14:paraId="1D23EE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wYjQ5NGMxNGRkYmM1YjlhOGUzYmQ2ZTgyNWVkZTAifQ=="/>
  </w:docVars>
  <w:rsids>
    <w:rsidRoot w:val="0074027F"/>
    <w:rsid w:val="0074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2024-12-03T08:24:00Z</dcterms:created>
  <dc:creator>筱然＆昕竺</dc:creator>
  <cp:lastModifiedBy>筱然＆昕竺</cp:lastModifiedBy>
  <dcterms:modified xsi:type="dcterms:W3CDTF">2024-12-03T08:24:34Z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777A6CEC0D864F7F8AA907D4A0AB4467_11</vt:lpwstr>
  </property>
</Properties>
</file>