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11" w:type="dxa"/>
        <w:tblInd w:w="-10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pacing w:line="600" w:lineRule="exact"/>
              <w:jc w:val="both"/>
              <w:textAlignment w:val="center"/>
              <w:rPr>
                <w:rFonts w:hint="eastAsia" w:ascii="方正小标宋_GBK" w:hAnsi="方正小标宋_GBK" w:eastAsia="黑体" w:cs="方正小标宋_GBK"/>
                <w:color w:val="000000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28"/>
                <w:lang w:val="en-US" w:bidi="ar-SA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2"/>
                <w:sz w:val="44"/>
                <w:szCs w:val="44"/>
                <w:lang w:val="en-US" w:bidi="ar-SA"/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2"/>
                <w:sz w:val="44"/>
                <w:szCs w:val="44"/>
                <w:lang w:val="en-US" w:eastAsia="zh-CN" w:bidi="ar-SA"/>
              </w:rPr>
              <w:t>2</w:t>
            </w: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2"/>
                <w:sz w:val="44"/>
                <w:szCs w:val="44"/>
                <w:lang w:val="en-US" w:bidi="ar-SA"/>
              </w:rPr>
              <w:t>年度</w:t>
            </w: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2"/>
                <w:sz w:val="44"/>
                <w:szCs w:val="44"/>
                <w:lang w:val="en-US" w:eastAsia="zh-CN" w:bidi="ar-SA"/>
              </w:rPr>
              <w:t>南沙</w:t>
            </w: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2"/>
                <w:sz w:val="44"/>
                <w:szCs w:val="44"/>
                <w:lang w:val="en-US" w:bidi="ar-SA"/>
              </w:rPr>
              <w:t>区总量控制类引进人才入户申请资料清单及申办流程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0" w:hRule="atLeast"/>
        </w:trPr>
        <w:tc>
          <w:tcPr>
            <w:tcW w:w="10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ind w:firstLine="0" w:firstLineChars="0"/>
              <w:rPr>
                <w:rFonts w:hint="eastAsia" w:ascii="仿宋_GB2312" w:hAnsi="仿宋_GB2312" w:eastAsia="仿宋_GB2312" w:cs="仿宋_GB2312"/>
                <w:sz w:val="15"/>
                <w:szCs w:val="15"/>
                <w:lang w:val="en-US"/>
              </w:rPr>
            </w:pPr>
          </w:p>
          <w:p>
            <w:pPr>
              <w:pStyle w:val="6"/>
              <w:ind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>一、申报材料清单</w:t>
            </w:r>
          </w:p>
          <w:tbl>
            <w:tblPr>
              <w:tblStyle w:val="4"/>
              <w:tblW w:w="10266" w:type="dxa"/>
              <w:jc w:val="center"/>
              <w:tblInd w:w="-4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"/>
              <w:gridCol w:w="313"/>
              <w:gridCol w:w="325"/>
              <w:gridCol w:w="531"/>
              <w:gridCol w:w="562"/>
              <w:gridCol w:w="1182"/>
              <w:gridCol w:w="1200"/>
              <w:gridCol w:w="465"/>
              <w:gridCol w:w="475"/>
              <w:gridCol w:w="4849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4" w:hRule="atLeast"/>
                <w:jc w:val="center"/>
              </w:trPr>
              <w:tc>
                <w:tcPr>
                  <w:tcW w:w="36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sz w:val="15"/>
                      <w:szCs w:val="15"/>
                      <w:lang w:val="en-US" w:bidi="ar"/>
                    </w:rPr>
                    <w:t>序号</w:t>
                  </w:r>
                </w:p>
              </w:tc>
              <w:tc>
                <w:tcPr>
                  <w:tcW w:w="4113" w:type="dxa"/>
                  <w:gridSpan w:val="6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sz w:val="15"/>
                      <w:szCs w:val="15"/>
                      <w:lang w:val="en-US" w:bidi="ar"/>
                    </w:rPr>
                    <w:t>资料名称</w:t>
                  </w:r>
                </w:p>
              </w:tc>
              <w:tc>
                <w:tcPr>
                  <w:tcW w:w="94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sz w:val="15"/>
                      <w:szCs w:val="15"/>
                      <w:lang w:val="en-US" w:eastAsia="zh-CN"/>
                    </w:rPr>
                    <w:t>材料清单</w:t>
                  </w:r>
                </w:p>
              </w:tc>
              <w:tc>
                <w:tcPr>
                  <w:tcW w:w="48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sz w:val="15"/>
                      <w:szCs w:val="15"/>
                      <w:lang w:val="en-US" w:eastAsia="zh-CN" w:bidi="ar"/>
                    </w:rPr>
                    <w:t>注意事项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4" w:hRule="atLeast"/>
                <w:jc w:val="center"/>
              </w:trPr>
              <w:tc>
                <w:tcPr>
                  <w:tcW w:w="36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4113" w:type="dxa"/>
                  <w:gridSpan w:val="6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4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sz w:val="15"/>
                      <w:szCs w:val="15"/>
                      <w:lang w:val="en-US" w:eastAsia="zh-CN" w:bidi="ar"/>
                    </w:rPr>
                    <w:t>系统</w:t>
                  </w:r>
                </w:p>
              </w:tc>
              <w:tc>
                <w:tcPr>
                  <w:tcW w:w="4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sz w:val="15"/>
                      <w:szCs w:val="15"/>
                      <w:lang w:val="en-US" w:eastAsia="zh-CN" w:bidi="ar"/>
                    </w:rPr>
                    <w:t>纸质</w:t>
                  </w:r>
                </w:p>
              </w:tc>
              <w:tc>
                <w:tcPr>
                  <w:tcW w:w="48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2" w:hRule="atLeast"/>
                <w:jc w:val="center"/>
              </w:trPr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1</w:t>
                  </w:r>
                </w:p>
              </w:tc>
              <w:tc>
                <w:tcPr>
                  <w:tcW w:w="313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企业资料</w:t>
                  </w:r>
                </w:p>
              </w:tc>
              <w:tc>
                <w:tcPr>
                  <w:tcW w:w="32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必备材料</w:t>
                  </w:r>
                </w:p>
              </w:tc>
              <w:tc>
                <w:tcPr>
                  <w:tcW w:w="347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南沙区申报使用2022年总量控制类入户指标单位推荐意见表</w:t>
                  </w:r>
                </w:p>
              </w:tc>
              <w:tc>
                <w:tcPr>
                  <w:tcW w:w="4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1" w:hRule="atLeast"/>
                <w:jc w:val="center"/>
              </w:trPr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2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47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南沙区申报使用2022年总量控制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类入户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  <w:t>指标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人员情况汇总表</w:t>
                  </w:r>
                </w:p>
              </w:tc>
              <w:tc>
                <w:tcPr>
                  <w:tcW w:w="4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1" w:hRule="atLeast"/>
                <w:jc w:val="center"/>
              </w:trPr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47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引进单位推荐申报人员的内部公示情况（需公示5个工作日以上，交公示现场照片）、公示情况表</w:t>
                  </w:r>
                </w:p>
              </w:tc>
              <w:tc>
                <w:tcPr>
                  <w:tcW w:w="4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1" w:hRule="atLeast"/>
                <w:jc w:val="center"/>
              </w:trPr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47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申请总量控制类入户指标承诺书</w:t>
                  </w:r>
                </w:p>
              </w:tc>
              <w:tc>
                <w:tcPr>
                  <w:tcW w:w="4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5" w:hRule="atLeast"/>
                <w:jc w:val="center"/>
              </w:trPr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企业根据自身条件不同需提交的材料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重点税源企业</w:t>
                  </w:r>
                </w:p>
              </w:tc>
              <w:tc>
                <w:tcPr>
                  <w:tcW w:w="2944" w:type="dxa"/>
                  <w:gridSpan w:val="3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2021年度在南沙区的入库税额300万元（含）以上的完税证明</w:t>
                  </w:r>
                </w:p>
              </w:tc>
              <w:tc>
                <w:tcPr>
                  <w:tcW w:w="4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总部型企业</w:t>
                  </w:r>
                </w:p>
              </w:tc>
              <w:tc>
                <w:tcPr>
                  <w:tcW w:w="2944" w:type="dxa"/>
                  <w:gridSpan w:val="3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行业主管部门推荐时提供相关的会议纪要</w:t>
                  </w:r>
                </w:p>
              </w:tc>
              <w:tc>
                <w:tcPr>
                  <w:tcW w:w="4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  <w:t>不需企业提供，由行业主管部门提供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11" w:hRule="atLeast"/>
                <w:jc w:val="center"/>
              </w:trPr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531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招商类企业</w:t>
                  </w:r>
                </w:p>
              </w:tc>
              <w:tc>
                <w:tcPr>
                  <w:tcW w:w="2944" w:type="dxa"/>
                  <w:gridSpan w:val="3"/>
                  <w:tcBorders>
                    <w:top w:val="single" w:color="000000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2021年度在南沙区的入库税额100万元（含）以上的完税证明</w:t>
                  </w:r>
                </w:p>
              </w:tc>
              <w:tc>
                <w:tcPr>
                  <w:tcW w:w="465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2" w:hRule="atLeast"/>
                <w:jc w:val="center"/>
              </w:trPr>
              <w:tc>
                <w:tcPr>
                  <w:tcW w:w="364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8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531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重点建设项目单位</w:t>
                  </w:r>
                </w:p>
              </w:tc>
              <w:tc>
                <w:tcPr>
                  <w:tcW w:w="294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行业主管部门推荐时提供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  <w:t>纳入重点建设项目和重点建设预备项目单位（含注册地址在我区的广东省重点建设项目单位、广州市重点建设项目单位&lt;省国资委、市国资委直接或委托监管的省属、市属国有企业除外&gt;，下同）或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2022年度南沙区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  <w:t>重点建设项目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或重点建设预备项目业主单位名单文件</w:t>
                  </w:r>
                </w:p>
              </w:tc>
              <w:tc>
                <w:tcPr>
                  <w:tcW w:w="465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  <w:t>不需企业提供，由行业主管部门提供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  <w:jc w:val="center"/>
              </w:trPr>
              <w:tc>
                <w:tcPr>
                  <w:tcW w:w="364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531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用人单位整体迁入、项目建设等原因的</w:t>
                  </w:r>
                </w:p>
              </w:tc>
              <w:tc>
                <w:tcPr>
                  <w:tcW w:w="294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经省、市、区政府同意，明确给予引进的文件</w:t>
                  </w:r>
                </w:p>
              </w:tc>
              <w:tc>
                <w:tcPr>
                  <w:tcW w:w="465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3" w:hRule="atLeast"/>
                <w:jc w:val="center"/>
              </w:trPr>
              <w:tc>
                <w:tcPr>
                  <w:tcW w:w="364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531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科研院所、新型研发机构、‘四上’高新技术企业</w:t>
                  </w:r>
                </w:p>
              </w:tc>
              <w:tc>
                <w:tcPr>
                  <w:tcW w:w="294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  <w:t>企业202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1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  <w:t>年度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在南沙区的入库税额50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  <w:t>万元(含)以上完税凭证，新型研发机构及“四上”高新技术企业可提供202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1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  <w:t>年纳入研发经费统计且研发投入300万元(含)以上相关证明文件或材料，“四上”高新技术企业还需提供有效期内的高新技术企业证书等证明材</w:t>
                  </w:r>
                </w:p>
              </w:tc>
              <w:tc>
                <w:tcPr>
                  <w:tcW w:w="465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3" w:hRule="atLeast"/>
                <w:jc w:val="center"/>
              </w:trPr>
              <w:tc>
                <w:tcPr>
                  <w:tcW w:w="364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531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建筑业企业</w:t>
                  </w:r>
                </w:p>
              </w:tc>
              <w:tc>
                <w:tcPr>
                  <w:tcW w:w="294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  <w:t>企业2021年度在南沙区的入库税额1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0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  <w:t>0万元（含）以上的完税证明或企业2021年度由第三方会计师事务所出具企业的审计报告</w:t>
                  </w:r>
                </w:p>
              </w:tc>
              <w:tc>
                <w:tcPr>
                  <w:tcW w:w="465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4" w:hRule="atLeast"/>
                <w:jc w:val="center"/>
              </w:trPr>
              <w:tc>
                <w:tcPr>
                  <w:tcW w:w="364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531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人工智能企业、信息和软件服务业企业</w:t>
                  </w:r>
                </w:p>
              </w:tc>
              <w:tc>
                <w:tcPr>
                  <w:tcW w:w="294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  <w:t>企业202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1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  <w:t>年度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在南沙区的入库税额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  <w:t>100万元（含）以上的完税证明</w:t>
                  </w:r>
                </w:p>
              </w:tc>
              <w:tc>
                <w:tcPr>
                  <w:tcW w:w="465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7" w:hRule="atLeast"/>
                <w:jc w:val="center"/>
              </w:trPr>
              <w:tc>
                <w:tcPr>
                  <w:tcW w:w="364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531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培育库小微工业企业</w:t>
                  </w:r>
                </w:p>
              </w:tc>
              <w:tc>
                <w:tcPr>
                  <w:tcW w:w="294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  <w:t>提供企业202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1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  <w:t>年度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在南沙区的入库税额5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  <w:t>0万元（含）以上的完税证明和纳入“小微工业企业培育库”的佐证材料</w:t>
                  </w:r>
                </w:p>
              </w:tc>
              <w:tc>
                <w:tcPr>
                  <w:tcW w:w="465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7" w:hRule="atLeast"/>
                <w:jc w:val="center"/>
              </w:trPr>
              <w:tc>
                <w:tcPr>
                  <w:tcW w:w="364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531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金融服务类企业</w:t>
                  </w:r>
                </w:p>
              </w:tc>
              <w:tc>
                <w:tcPr>
                  <w:tcW w:w="294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企业2021年度在南沙区的入库税额100万元（含）以上的完税证明</w:t>
                  </w:r>
                </w:p>
              </w:tc>
              <w:tc>
                <w:tcPr>
                  <w:tcW w:w="465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7" w:hRule="atLeast"/>
                <w:jc w:val="center"/>
              </w:trPr>
              <w:tc>
                <w:tcPr>
                  <w:tcW w:w="364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531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航运物流类企业</w:t>
                  </w:r>
                </w:p>
              </w:tc>
              <w:tc>
                <w:tcPr>
                  <w:tcW w:w="294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企业2021年度在南沙区的入库税额50万元（含）以上的完税证明和在南沙区从事经营港口、码头、航运物流的相关佐证材料</w:t>
                  </w:r>
                </w:p>
              </w:tc>
              <w:tc>
                <w:tcPr>
                  <w:tcW w:w="465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7" w:hRule="atLeast"/>
                <w:jc w:val="center"/>
              </w:trPr>
              <w:tc>
                <w:tcPr>
                  <w:tcW w:w="364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531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本年度纳入国家一套表联网直报平台统计的“四上”企业</w:t>
                  </w:r>
                </w:p>
              </w:tc>
              <w:tc>
                <w:tcPr>
                  <w:tcW w:w="294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2021年度在南沙区的入库税额100万元（含）以上的完税证明</w:t>
                  </w:r>
                </w:p>
              </w:tc>
              <w:tc>
                <w:tcPr>
                  <w:tcW w:w="465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7" w:hRule="atLeast"/>
                <w:jc w:val="center"/>
              </w:trPr>
              <w:tc>
                <w:tcPr>
                  <w:tcW w:w="364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531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二级甲等以上医疗机构</w:t>
                  </w:r>
                </w:p>
              </w:tc>
              <w:tc>
                <w:tcPr>
                  <w:tcW w:w="294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营业执照及单位有关等级的正式文件，2021年度在南沙区的入库税额100万元（含）以上的完税证明</w:t>
                  </w:r>
                </w:p>
              </w:tc>
              <w:tc>
                <w:tcPr>
                  <w:tcW w:w="465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7" w:hRule="atLeast"/>
                <w:jc w:val="center"/>
              </w:trPr>
              <w:tc>
                <w:tcPr>
                  <w:tcW w:w="364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531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民办教育机构</w:t>
                  </w:r>
                </w:p>
              </w:tc>
              <w:tc>
                <w:tcPr>
                  <w:tcW w:w="294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营业执照（营利性教育机构提供）或民办非企业单位登记证（非营利性教育机构提供）、2021年度在南沙区的入库税额100万元（含）以上的完税证明</w:t>
                  </w:r>
                </w:p>
              </w:tc>
              <w:tc>
                <w:tcPr>
                  <w:tcW w:w="465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7" w:hRule="atLeast"/>
                <w:jc w:val="center"/>
              </w:trPr>
              <w:tc>
                <w:tcPr>
                  <w:tcW w:w="364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531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文化旅游体育机构</w:t>
                  </w:r>
                </w:p>
              </w:tc>
              <w:tc>
                <w:tcPr>
                  <w:tcW w:w="294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1.2021年度在南沙区的入库税额100万元（含）以上机构提供营业执照以及2021年度在南沙区的入库税额100万元（含）以上的完税证明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2.2021年度在南沙区的入库税额50万元（含）以上的南沙特色民间工艺非遗保护单位、传承基地提供2021年度在南沙区的入库税额50万元（含）以上的完税证明和相关认定资质材料</w:t>
                  </w:r>
                </w:p>
              </w:tc>
              <w:tc>
                <w:tcPr>
                  <w:tcW w:w="465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6" w:hRule="atLeast"/>
                <w:jc w:val="center"/>
              </w:trPr>
              <w:tc>
                <w:tcPr>
                  <w:tcW w:w="364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531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农业农村相关企业</w:t>
                  </w:r>
                </w:p>
              </w:tc>
              <w:tc>
                <w:tcPr>
                  <w:tcW w:w="294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市级龙头企业申报/监测完整材料，市级认定文件等佐证材料</w:t>
                  </w:r>
                </w:p>
              </w:tc>
              <w:tc>
                <w:tcPr>
                  <w:tcW w:w="465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3" w:hRule="atLeast"/>
                <w:jc w:val="center"/>
              </w:trPr>
              <w:tc>
                <w:tcPr>
                  <w:tcW w:w="364" w:type="dxa"/>
                  <w:tcBorders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531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广州市劳动关系和谐企业</w:t>
                  </w:r>
                </w:p>
              </w:tc>
              <w:tc>
                <w:tcPr>
                  <w:tcW w:w="294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2021年度在南沙区的入库税额50万元（含）以上的完税证明</w:t>
                  </w:r>
                </w:p>
              </w:tc>
              <w:tc>
                <w:tcPr>
                  <w:tcW w:w="465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36" w:hRule="atLeast"/>
                <w:jc w:val="center"/>
              </w:trPr>
              <w:tc>
                <w:tcPr>
                  <w:tcW w:w="3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5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中国广州人力资源服务产业园南沙园区单位</w:t>
                  </w:r>
                </w:p>
              </w:tc>
              <w:tc>
                <w:tcPr>
                  <w:tcW w:w="294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营业执照复印件，2021年度在南沙区的入库税额200万元（含）以上的完税证明或相关证明材料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</w:p>
              </w:tc>
              <w:tc>
                <w:tcPr>
                  <w:tcW w:w="4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7" w:hRule="atLeast"/>
                <w:jc w:val="center"/>
              </w:trPr>
              <w:tc>
                <w:tcPr>
                  <w:tcW w:w="3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5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社会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组织（不含非营利性教育机构）</w:t>
                  </w:r>
                </w:p>
              </w:tc>
              <w:tc>
                <w:tcPr>
                  <w:tcW w:w="294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在广州市南沙区注册成立时间材料，获得4A（含）以上等级证书，获得市级（含）以上的行业荣誉称号证书，2021年度审计报告等有关材料</w:t>
                  </w:r>
                </w:p>
              </w:tc>
              <w:tc>
                <w:tcPr>
                  <w:tcW w:w="4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4" w:hRule="atLeast"/>
                <w:jc w:val="center"/>
              </w:trPr>
              <w:tc>
                <w:tcPr>
                  <w:tcW w:w="3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1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个人资料</w:t>
                  </w:r>
                </w:p>
              </w:tc>
              <w:tc>
                <w:tcPr>
                  <w:tcW w:w="32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个人根据自身条件不同需提交的材料</w:t>
                  </w:r>
                </w:p>
              </w:tc>
              <w:tc>
                <w:tcPr>
                  <w:tcW w:w="347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身份证（正反面）、户口簿首页、个人页</w:t>
                  </w:r>
                </w:p>
              </w:tc>
              <w:tc>
                <w:tcPr>
                  <w:tcW w:w="46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1.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身份证须在有效期内使用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  <w:t>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240" w:lineRule="exact"/>
                    <w:jc w:val="both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2.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户口簿确认信息，户籍地址必须无误。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8" w:hRule="atLeast"/>
                <w:jc w:val="center"/>
              </w:trPr>
              <w:tc>
                <w:tcPr>
                  <w:tcW w:w="364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13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475" w:type="dxa"/>
                  <w:gridSpan w:val="4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2020年1月至今社保缴费历史明细表</w:t>
                  </w:r>
                </w:p>
              </w:tc>
              <w:tc>
                <w:tcPr>
                  <w:tcW w:w="4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-</w:t>
                  </w:r>
                </w:p>
              </w:tc>
              <w:tc>
                <w:tcPr>
                  <w:tcW w:w="4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 xml:space="preserve">1.当前月份打印的社保缴费历史明细表； 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2.社保材料无需再扫描上传系统。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8" w:hRule="atLeast"/>
                <w:jc w:val="center"/>
              </w:trPr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093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zh-CN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落户地址材料（三选一）</w:t>
                  </w: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zh-CN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迁入本人或直系亲属房产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zh-CN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房产证或《个人名下房地产登记情况查询证明》</w:t>
                  </w:r>
                </w:p>
              </w:tc>
              <w:tc>
                <w:tcPr>
                  <w:tcW w:w="4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zh-CN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《个人名下房产证登记情况查询证明》，由个人带身份证到房管部门打印。不动产登记信息实现共享核查后，按要求通过信息共享查核，申请时可免提供。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98" w:hRule="atLeast"/>
                <w:jc w:val="center"/>
              </w:trPr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093" w:type="dxa"/>
                  <w:gridSpan w:val="2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zh-CN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zh-CN" w:eastAsia="zh-CN" w:bidi="zh-CN"/>
                    </w:rPr>
                    <w:t>迁入用人单位集体户(含人才市场集体户）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zh-CN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zh-CN" w:eastAsia="zh-CN" w:bidi="zh-CN"/>
                    </w:rPr>
                    <w:t>集体户单位同意落户意见及加盖公章的集体户口簿首页复印件</w:t>
                  </w:r>
                </w:p>
              </w:tc>
              <w:tc>
                <w:tcPr>
                  <w:tcW w:w="4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zh-CN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落户公共集体户或单位集体户的，申请人需与入户地址所属区的集体户管理部门、公安局办证中心和派出所确认可否挂靠入户。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8" w:hRule="atLeast"/>
                <w:jc w:val="center"/>
              </w:trPr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093" w:type="dxa"/>
                  <w:gridSpan w:val="2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zh-CN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迁入工作单位注册地所属街道（镇）公共集体户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zh-CN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个人无以上两点规定住所书面承诺以及街道（镇）公共集体户地址及所属派出所信息</w:t>
                  </w:r>
                </w:p>
              </w:tc>
              <w:tc>
                <w:tcPr>
                  <w:tcW w:w="4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zh-CN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迁入街道公共集体户承诺书，申请人自行打印填写。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6" w:hRule="atLeast"/>
                <w:jc w:val="center"/>
              </w:trPr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6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093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学历或资格材料（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五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选一）</w:t>
                  </w: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大专（含）以上学历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both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毕业证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  <w:t>，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学信网学历查询结果截图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  <w:t>或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认证材料。</w:t>
                  </w:r>
                </w:p>
              </w:tc>
              <w:tc>
                <w:tcPr>
                  <w:tcW w:w="4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1.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学历认证材料主要包括通过中国高等教育学生信息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网（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https://www.chsi.com.cn/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）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验证打印的《教育部学历证书电子注册备案表》或全国 高等学校学生信息咨询与就业指导中心出具的《中国高等教育学历认证报告》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2.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学位认证材料主要包括通过中国学位与研究生教育信息网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（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http://www.cdgdc.edu.cn/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）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在线打印的查询结果或直接通过其网上申请出具的认证报告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；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br w:type="textWrapping"/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3.国（境）外学历学位通过教育部留学服务中心国（境）外学历学位认证结果查询系统（https://zwfwbl.cscse.edu.cn/homeView/contactUs?type=2），须提供教育部留学服务中心《国（境）外学历学位认证书》。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2" w:hRule="atLeast"/>
                <w:jc w:val="center"/>
              </w:trPr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093" w:type="dxa"/>
                  <w:gridSpan w:val="2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职称、专业技术人 员职业资格（执业 资格）或技能人员 职业资格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各级人力资源和社会保障部门及其授权的部门所核发证书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  <w:t>，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发证机关官方网站查询结果截图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  <w:t>或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证书确认、核验材料。</w:t>
                  </w:r>
                </w:p>
              </w:tc>
              <w:tc>
                <w:tcPr>
                  <w:tcW w:w="4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zh-CN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zh-CN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网上查询方式：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1.广东省职业资格证书查询（http://gdrst.gdhrss.gov.cn/sofpro/gecs/zs/chaxun_sgjzyzg.jsp）；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2.国家职业资格证书全国联网查询（http://zscx.osta.org.cn/）；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3.广东省省本级专业技术网上申报系统 （http://www.gdhrss.gov.cn/gdweb/ggfw/web/pub/ggfwzyjs.do）；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4.广东省职业技能鉴定指导中心（http://www.gdhrss.gov.cn/gdosta/zsyz/）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5.省外证书请联系发证机关进行网上核实、截图。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093" w:type="dxa"/>
                  <w:gridSpan w:val="2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其他类别申请人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240" w:lineRule="exact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申请人属于机关事业单位招录人员，须提供公务员考录部门或事业单位人事管理部门的招录（聘）或转调任证明；属于机关事业单位其他工作人员的，提供劳动合同。</w:t>
                  </w:r>
                </w:p>
              </w:tc>
              <w:tc>
                <w:tcPr>
                  <w:tcW w:w="4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57" w:hRule="atLeast"/>
                <w:jc w:val="center"/>
              </w:trPr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093" w:type="dxa"/>
                  <w:gridSpan w:val="2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企业法定代表人或出资比例超过10%（含10%）以上的企业股东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毕业证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、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营业执照或在工商局备案的公司章程</w:t>
                  </w:r>
                </w:p>
              </w:tc>
              <w:tc>
                <w:tcPr>
                  <w:tcW w:w="4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其他材料</w:t>
                  </w:r>
                </w:p>
              </w:tc>
              <w:tc>
                <w:tcPr>
                  <w:tcW w:w="1093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家属随迁</w:t>
                  </w:r>
                </w:p>
              </w:tc>
              <w:tc>
                <w:tcPr>
                  <w:tcW w:w="238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配偶：结婚证、配偶户口簿首页和个人页、身份证（正反面）</w:t>
                  </w:r>
                </w:p>
              </w:tc>
              <w:tc>
                <w:tcPr>
                  <w:tcW w:w="4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atLeast"/>
                <w:jc w:val="center"/>
              </w:trPr>
              <w:tc>
                <w:tcPr>
                  <w:tcW w:w="36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093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2382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未成年子女（不满18周岁的未成年子女可随迁入户）：子女户口簿（首页和个人页）、出生医学证明。离婚人员还须提供离婚证、协议书或民事调解书或法院判决书。</w:t>
                  </w:r>
                </w:p>
              </w:tc>
              <w:tc>
                <w:tcPr>
                  <w:tcW w:w="465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75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随迁子女在国外出生的，须提交国外出生证明材料及翻译公证材料。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0" w:hRule="atLeast"/>
                <w:jc w:val="center"/>
              </w:trPr>
              <w:tc>
                <w:tcPr>
                  <w:tcW w:w="364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</w:pPr>
                </w:p>
              </w:tc>
              <w:tc>
                <w:tcPr>
                  <w:tcW w:w="313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325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  <w:t>系统被禁报人员</w:t>
                  </w:r>
                </w:p>
              </w:tc>
              <w:tc>
                <w:tcPr>
                  <w:tcW w:w="2382" w:type="dxa"/>
                  <w:gridSpan w:val="2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加盖公司公章的解封申请原件</w:t>
                  </w:r>
                </w:p>
              </w:tc>
              <w:tc>
                <w:tcPr>
                  <w:tcW w:w="465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475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4849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10266" w:type="dxa"/>
                  <w:gridSpan w:val="10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b/>
                      <w:bCs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lef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30"/>
                      <w:szCs w:val="30"/>
                      <w:lang w:val="en-US" w:eastAsia="zh-CN"/>
                    </w:rPr>
                    <w:t>注意事项：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  <w:t>1.所有材料需原件、已盖公章的彩色复印件、已盖公章彩色复印件的彩色扫描版各1份，按1:1比例复印原件，并统一用A4纸按上述顺序排列，原件由各行业主管部门核对后退回单位，再由单位退回本人；已盖公章彩色复印件的彩色扫描版以材料名命名文档，以申请人姓名命名单独文件夹，再以单位名命名文件夹，并将单位和个人电子申报材料归集在一起；《汇总表》还需提供EXCEL电子表格版；单位申报材料还需逐级提供已盖公章纸质原件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  <w:t>2.“材料清单”分为系统和纸质，在系统处打“√”的需在系统上传该项资料的原件，原件须彩色扫描，并相应命名好后上传到网上“人才引进申办系统”；在纸质处打“√”的需提交该项资料的纸质复印件，并加盖企业公章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  <w:t>3.申报人有家属随迁的，除本市电子证照系统可查的以外，还须提供婚姻登记材料。配偶和不满18周岁的未成年子女可随迁入户。根据有关部门规定，未成年人原则上不能担任户主，不得单独立户，申报人在办理引进在职人才入户时，请考虑实际情况办理随迁。</w:t>
                  </w:r>
                </w:p>
              </w:tc>
            </w:tr>
          </w:tbl>
          <w:p>
            <w:pPr>
              <w:widowControl/>
              <w:spacing w:line="6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/>
              </w:rPr>
              <w:t>二、办理流程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4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bidi="ar"/>
              </w:rPr>
              <w:t>准备申报资料→向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"/>
              </w:rPr>
              <w:t>行业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bidi="ar"/>
              </w:rPr>
              <w:t>主管部门提出入户指标申请并递交资料→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"/>
              </w:rPr>
              <w:t>行业主管部门对书面申报材料进行审核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bidi="ar"/>
              </w:rPr>
              <w:t>→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"/>
              </w:rPr>
              <w:t>区人社局对书面申报材料进行复核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bidi="ar"/>
              </w:rPr>
              <w:t>→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"/>
              </w:rPr>
              <w:t>工作小组会议研究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bidi="ar"/>
              </w:rPr>
              <w:t>→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将拟使用指标人员名单在南沙区政府网站公示5个工作日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bidi="ar"/>
              </w:rPr>
              <w:t>→申报人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"/>
              </w:rPr>
              <w:t>取得入户指标后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bidi="ar"/>
              </w:rPr>
              <w:t>网上申报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"/>
              </w:rPr>
              <w:t>(申报网址：http://www.gdzwfw.gov.cn/portal/guide/11440100696927671X3442111964001）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bidi="ar"/>
              </w:rPr>
              <w:t>→区人社局审核→网上公示→公布→到公安部门办理入户手续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F6F7A"/>
    <w:rsid w:val="02A11FE3"/>
    <w:rsid w:val="02F53AAB"/>
    <w:rsid w:val="044210C3"/>
    <w:rsid w:val="045F713C"/>
    <w:rsid w:val="0531659B"/>
    <w:rsid w:val="05F97154"/>
    <w:rsid w:val="079005F0"/>
    <w:rsid w:val="07B578FA"/>
    <w:rsid w:val="0ADF2101"/>
    <w:rsid w:val="0E947258"/>
    <w:rsid w:val="0F361653"/>
    <w:rsid w:val="0FC52B86"/>
    <w:rsid w:val="13BD672C"/>
    <w:rsid w:val="155B331A"/>
    <w:rsid w:val="164D1A28"/>
    <w:rsid w:val="17B32BC4"/>
    <w:rsid w:val="17B97D6C"/>
    <w:rsid w:val="1AB620A5"/>
    <w:rsid w:val="1DD12B83"/>
    <w:rsid w:val="1E0208FC"/>
    <w:rsid w:val="1E216E29"/>
    <w:rsid w:val="1F087F65"/>
    <w:rsid w:val="20826817"/>
    <w:rsid w:val="225A6310"/>
    <w:rsid w:val="23C845CD"/>
    <w:rsid w:val="2478562F"/>
    <w:rsid w:val="27414878"/>
    <w:rsid w:val="28301F02"/>
    <w:rsid w:val="28C26E18"/>
    <w:rsid w:val="28C76B78"/>
    <w:rsid w:val="2E80499D"/>
    <w:rsid w:val="2EB32BB0"/>
    <w:rsid w:val="2F325BBA"/>
    <w:rsid w:val="2FAC2D83"/>
    <w:rsid w:val="314D7C42"/>
    <w:rsid w:val="365F2D4C"/>
    <w:rsid w:val="382D49C8"/>
    <w:rsid w:val="39EB30C3"/>
    <w:rsid w:val="3B4B394D"/>
    <w:rsid w:val="3D73749C"/>
    <w:rsid w:val="3F0274C0"/>
    <w:rsid w:val="3F255CD6"/>
    <w:rsid w:val="3FAC66B6"/>
    <w:rsid w:val="40D25572"/>
    <w:rsid w:val="4182412D"/>
    <w:rsid w:val="42031C28"/>
    <w:rsid w:val="45776D41"/>
    <w:rsid w:val="47227F42"/>
    <w:rsid w:val="479077A3"/>
    <w:rsid w:val="4795389A"/>
    <w:rsid w:val="49936072"/>
    <w:rsid w:val="4AE60D81"/>
    <w:rsid w:val="4C712666"/>
    <w:rsid w:val="4DF30779"/>
    <w:rsid w:val="52DF6E55"/>
    <w:rsid w:val="5351565D"/>
    <w:rsid w:val="544A321F"/>
    <w:rsid w:val="54D35389"/>
    <w:rsid w:val="56F67F0B"/>
    <w:rsid w:val="57AE4E2A"/>
    <w:rsid w:val="5A367ED1"/>
    <w:rsid w:val="5BDF2DF3"/>
    <w:rsid w:val="5DE26040"/>
    <w:rsid w:val="5EF45057"/>
    <w:rsid w:val="5F2F6F7A"/>
    <w:rsid w:val="5F900ED8"/>
    <w:rsid w:val="5FD749CC"/>
    <w:rsid w:val="613F014E"/>
    <w:rsid w:val="628071E0"/>
    <w:rsid w:val="62E23CE9"/>
    <w:rsid w:val="63FD50EB"/>
    <w:rsid w:val="644912E7"/>
    <w:rsid w:val="6546530A"/>
    <w:rsid w:val="65912014"/>
    <w:rsid w:val="65B106FA"/>
    <w:rsid w:val="66AF2691"/>
    <w:rsid w:val="683E3EA2"/>
    <w:rsid w:val="6AF8398D"/>
    <w:rsid w:val="6C037D42"/>
    <w:rsid w:val="6DE3622F"/>
    <w:rsid w:val="6F75322A"/>
    <w:rsid w:val="700E00DA"/>
    <w:rsid w:val="720F6FB0"/>
    <w:rsid w:val="72CC564E"/>
    <w:rsid w:val="732F66D2"/>
    <w:rsid w:val="73924D2B"/>
    <w:rsid w:val="751E7826"/>
    <w:rsid w:val="765D6C91"/>
    <w:rsid w:val="779C28B0"/>
    <w:rsid w:val="78022A7F"/>
    <w:rsid w:val="7870079B"/>
    <w:rsid w:val="79300A3C"/>
    <w:rsid w:val="79A43A72"/>
    <w:rsid w:val="7A4F0400"/>
    <w:rsid w:val="7B5E41D1"/>
    <w:rsid w:val="7B651888"/>
    <w:rsid w:val="7BFC518C"/>
    <w:rsid w:val="7C7E6742"/>
    <w:rsid w:val="7E7251CE"/>
    <w:rsid w:val="7E9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Normal Indent1"/>
    <w:basedOn w:val="1"/>
    <w:qFormat/>
    <w:uiPriority w:val="0"/>
    <w:pPr>
      <w:ind w:firstLine="420" w:firstLineChars="200"/>
    </w:pPr>
  </w:style>
  <w:style w:type="paragraph" w:customStyle="1" w:styleId="7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2020-06-30T02:03:00Z</dcterms:created>
  <dc:creator>吴大娜xi</dc:creator>
  <cp:lastModifiedBy>RCB-FYB</cp:lastModifiedBy>
  <dcterms:modified xsi:type="dcterms:W3CDTF">2022-10-09T01:06:26Z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8B1756573EC74F2D95C09A9C0F5F347F</vt:lpwstr>
  </property>
</Properties>
</file>