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F38B0">
      <w:pPr>
        <w:keepNext w:val="0"/>
        <w:keepLines w:val="0"/>
        <w:pageBreakBefore w:val="0"/>
        <w:topLinePunct w:val="0"/>
        <w:bidi w:val="0"/>
        <w:spacing w:beforeAutospacing="0" w:afterAutospacing="0" w:line="460" w:lineRule="exact"/>
        <w:ind w:left="0" w:leftChars="0"/>
        <w:rPr>
          <w:rFonts w:hint="eastAsia" w:ascii="黑体" w:hAnsi="黑体" w:eastAsia="黑体" w:cs="黑体"/>
          <w:color w:val="auto"/>
          <w:szCs w:val="32"/>
          <w:highlight w:val="none"/>
        </w:rPr>
      </w:pPr>
      <w:r>
        <w:rPr>
          <w:rFonts w:hint="eastAsia" w:ascii="黑体" w:hAnsi="黑体" w:eastAsia="黑体" w:cs="黑体"/>
          <w:color w:val="auto"/>
          <w:szCs w:val="32"/>
          <w:highlight w:val="none"/>
        </w:rPr>
        <w:t>附件3</w:t>
      </w:r>
    </w:p>
    <w:p w14:paraId="024C8A5F">
      <w:pPr>
        <w:keepNext w:val="0"/>
        <w:keepLines w:val="0"/>
        <w:pageBreakBefore w:val="0"/>
        <w:widowControl/>
        <w:kinsoku w:val="0"/>
        <w:topLinePunct w:val="0"/>
        <w:autoSpaceDE w:val="0"/>
        <w:autoSpaceDN w:val="0"/>
        <w:bidi w:val="0"/>
        <w:adjustRightInd w:val="0"/>
        <w:snapToGrid w:val="0"/>
        <w:spacing w:beforeAutospacing="0" w:afterAutospacing="0" w:line="460" w:lineRule="exact"/>
        <w:ind w:left="0" w:leftChars="0" w:hanging="435"/>
        <w:jc w:val="center"/>
        <w:textAlignment w:val="baseline"/>
        <w:rPr>
          <w:rFonts w:hint="eastAsia" w:ascii="方正小标宋简体" w:hAnsi="方正小标宋简体" w:eastAsia="方正小标宋简体" w:cs="方正小标宋简体"/>
          <w:snapToGrid w:val="0"/>
          <w:color w:val="auto"/>
          <w:kern w:val="0"/>
          <w:sz w:val="44"/>
          <w:szCs w:val="44"/>
          <w:highlight w:val="none"/>
          <w:lang w:val="en-US" w:eastAsia="zh-CN"/>
        </w:rPr>
      </w:pPr>
      <w:r>
        <w:rPr>
          <w:rFonts w:hint="eastAsia" w:ascii="方正小标宋简体" w:hAnsi="方正小标宋简体" w:eastAsia="方正小标宋简体" w:cs="方正小标宋简体"/>
          <w:snapToGrid w:val="0"/>
          <w:color w:val="auto"/>
          <w:kern w:val="0"/>
          <w:sz w:val="44"/>
          <w:szCs w:val="44"/>
          <w:highlight w:val="none"/>
          <w:lang w:val="en-US" w:eastAsia="zh-CN"/>
        </w:rPr>
        <w:t xml:space="preserve">  </w:t>
      </w:r>
    </w:p>
    <w:p w14:paraId="64715F0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hanging="437"/>
        <w:jc w:val="center"/>
        <w:textAlignment w:val="baseline"/>
        <w:rPr>
          <w:rFonts w:hint="eastAsia"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观山湖区202</w:t>
      </w:r>
      <w:r>
        <w:rPr>
          <w:rFonts w:hint="eastAsia" w:ascii="方正小标宋简体" w:hAnsi="方正小标宋简体" w:eastAsia="方正小标宋简体" w:cs="方正小标宋简体"/>
          <w:snapToGrid w:val="0"/>
          <w:color w:val="auto"/>
          <w:kern w:val="0"/>
          <w:sz w:val="44"/>
          <w:szCs w:val="44"/>
          <w:highlight w:val="none"/>
          <w:lang w:val="en-US" w:eastAsia="zh-CN"/>
        </w:rPr>
        <w:t>5</w:t>
      </w:r>
      <w:r>
        <w:rPr>
          <w:rFonts w:hint="eastAsia" w:ascii="方正小标宋简体" w:hAnsi="方正小标宋简体" w:eastAsia="方正小标宋简体" w:cs="方正小标宋简体"/>
          <w:snapToGrid w:val="0"/>
          <w:color w:val="auto"/>
          <w:kern w:val="0"/>
          <w:sz w:val="44"/>
          <w:szCs w:val="44"/>
          <w:highlight w:val="none"/>
        </w:rPr>
        <w:t>年进城务工人员随迁子女义务</w:t>
      </w:r>
    </w:p>
    <w:p w14:paraId="0D1DA49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hanging="437"/>
        <w:jc w:val="center"/>
        <w:textAlignment w:val="baseline"/>
        <w:rPr>
          <w:rFonts w:hint="eastAsia" w:ascii="黑体" w:hAnsi="黑体" w:eastAsia="黑体" w:cs="黑体"/>
          <w:snapToGrid w:val="0"/>
          <w:color w:val="auto"/>
          <w:kern w:val="0"/>
          <w:szCs w:val="32"/>
          <w:highlight w:val="none"/>
        </w:rPr>
      </w:pPr>
      <w:r>
        <w:rPr>
          <w:rFonts w:hint="eastAsia" w:ascii="方正小标宋简体" w:hAnsi="方正小标宋简体" w:eastAsia="方正小标宋简体" w:cs="方正小标宋简体"/>
          <w:snapToGrid w:val="0"/>
          <w:color w:val="auto"/>
          <w:kern w:val="0"/>
          <w:sz w:val="44"/>
          <w:szCs w:val="44"/>
          <w:highlight w:val="none"/>
        </w:rPr>
        <w:t>教育阶段入学工作实施细则</w:t>
      </w:r>
    </w:p>
    <w:p w14:paraId="5AAEFCC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exact"/>
        <w:ind w:left="0" w:leftChars="0" w:firstLine="632" w:firstLineChars="200"/>
        <w:jc w:val="center"/>
        <w:textAlignment w:val="baseline"/>
        <w:rPr>
          <w:rFonts w:hint="eastAsia" w:ascii="黑体" w:hAnsi="黑体" w:eastAsia="黑体" w:cs="黑体"/>
          <w:snapToGrid w:val="0"/>
          <w:color w:val="auto"/>
          <w:kern w:val="0"/>
          <w:szCs w:val="32"/>
          <w:highlight w:val="none"/>
        </w:rPr>
      </w:pPr>
    </w:p>
    <w:p w14:paraId="5D19516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32" w:firstLineChars="200"/>
        <w:jc w:val="center"/>
        <w:textAlignment w:val="baseline"/>
        <w:rPr>
          <w:rFonts w:hint="default" w:ascii="Times New Roman" w:hAnsi="Times New Roman" w:eastAsia="黑体" w:cs="Times New Roman"/>
          <w:snapToGrid w:val="0"/>
          <w:color w:val="auto"/>
          <w:spacing w:val="0"/>
          <w:kern w:val="0"/>
          <w:szCs w:val="32"/>
          <w:highlight w:val="none"/>
        </w:rPr>
      </w:pPr>
      <w:r>
        <w:rPr>
          <w:rFonts w:hint="default" w:ascii="Times New Roman" w:hAnsi="Times New Roman" w:eastAsia="黑体" w:cs="Times New Roman"/>
          <w:snapToGrid w:val="0"/>
          <w:color w:val="auto"/>
          <w:spacing w:val="0"/>
          <w:kern w:val="0"/>
          <w:szCs w:val="32"/>
          <w:highlight w:val="none"/>
        </w:rPr>
        <w:t>第一章  总则</w:t>
      </w:r>
    </w:p>
    <w:p w14:paraId="3D3943B5">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color w:val="auto"/>
          <w:spacing w:val="0"/>
          <w:szCs w:val="32"/>
          <w:highlight w:val="none"/>
        </w:rPr>
      </w:pPr>
      <w:r>
        <w:rPr>
          <w:rFonts w:hint="default" w:ascii="Times New Roman" w:hAnsi="Times New Roman" w:cs="Times New Roman"/>
          <w:b/>
          <w:bCs/>
          <w:color w:val="auto"/>
          <w:spacing w:val="0"/>
          <w:szCs w:val="32"/>
          <w:highlight w:val="none"/>
        </w:rPr>
        <w:t xml:space="preserve">第一条 </w:t>
      </w:r>
      <w:r>
        <w:rPr>
          <w:rFonts w:hint="default" w:ascii="Times New Roman" w:hAnsi="Times New Roman" w:cs="Times New Roman"/>
          <w:color w:val="auto"/>
          <w:spacing w:val="0"/>
          <w:szCs w:val="32"/>
          <w:highlight w:val="none"/>
        </w:rPr>
        <w:t xml:space="preserve"> 全面贯彻落实《中华人民共和国义务教育法》、国务院 《居住证暂行条例》、教育部《关于督促进一步做好进城务工人员随迁子女就学工作的通知》和《贵州省义务教育条例》精神，根据《贵阳市教育局关于印发〈外来人员随迁子女在筑接受义务教育指南〉的通知》文件要求，为进一步做好观山湖区进城务工人员随迁子女（后称</w:t>
      </w:r>
      <w:r>
        <w:rPr>
          <w:rFonts w:hint="eastAsia" w:ascii="Times New Roman" w:hAnsi="Times New Roman" w:cs="Times New Roman"/>
          <w:color w:val="auto"/>
          <w:spacing w:val="0"/>
          <w:szCs w:val="32"/>
          <w:highlight w:val="none"/>
          <w:lang w:eastAsia="zh-CN"/>
        </w:rPr>
        <w:t>“</w:t>
      </w:r>
      <w:r>
        <w:rPr>
          <w:rFonts w:hint="default" w:ascii="Times New Roman" w:hAnsi="Times New Roman" w:cs="Times New Roman"/>
          <w:color w:val="auto"/>
          <w:spacing w:val="0"/>
          <w:szCs w:val="32"/>
          <w:highlight w:val="none"/>
        </w:rPr>
        <w:t>随迁子女</w:t>
      </w:r>
      <w:r>
        <w:rPr>
          <w:rFonts w:hint="eastAsia" w:ascii="Times New Roman" w:hAnsi="Times New Roman" w:cs="Times New Roman"/>
          <w:color w:val="auto"/>
          <w:spacing w:val="0"/>
          <w:szCs w:val="32"/>
          <w:highlight w:val="none"/>
          <w:lang w:eastAsia="zh-CN"/>
        </w:rPr>
        <w:t>”</w:t>
      </w:r>
      <w:r>
        <w:rPr>
          <w:rFonts w:hint="default" w:ascii="Times New Roman" w:hAnsi="Times New Roman" w:cs="Times New Roman"/>
          <w:color w:val="auto"/>
          <w:spacing w:val="0"/>
          <w:szCs w:val="32"/>
          <w:highlight w:val="none"/>
        </w:rPr>
        <w:t>）义务教育入学工作，结合我区实际制定本实施细则。</w:t>
      </w:r>
    </w:p>
    <w:p w14:paraId="04BF3BE7">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color w:val="auto"/>
          <w:spacing w:val="0"/>
          <w:szCs w:val="32"/>
          <w:highlight w:val="none"/>
        </w:rPr>
      </w:pPr>
      <w:r>
        <w:rPr>
          <w:rFonts w:hint="default" w:ascii="Times New Roman" w:hAnsi="Times New Roman" w:cs="Times New Roman"/>
          <w:b/>
          <w:bCs/>
          <w:color w:val="auto"/>
          <w:spacing w:val="0"/>
          <w:szCs w:val="32"/>
          <w:highlight w:val="none"/>
        </w:rPr>
        <w:t>第二条</w:t>
      </w:r>
      <w:r>
        <w:rPr>
          <w:rFonts w:hint="default" w:ascii="Times New Roman" w:hAnsi="Times New Roman" w:cs="Times New Roman"/>
          <w:color w:val="auto"/>
          <w:spacing w:val="0"/>
          <w:szCs w:val="32"/>
          <w:highlight w:val="none"/>
        </w:rPr>
        <w:t xml:space="preserve">  坚持“公平、公正、公开”原则，按照“两为主（即以流入地政府为主、以公办学校为主）、两纳入（纳入城镇发展规划、纳入财政资金保障）、以居住证为主要依据”的要求，做好符合条件的外来人员随迁子女在观山湖区接受义务教育保障工作。 </w:t>
      </w:r>
    </w:p>
    <w:p w14:paraId="1845DC0D">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color w:val="auto"/>
          <w:spacing w:val="0"/>
          <w:szCs w:val="32"/>
          <w:highlight w:val="none"/>
        </w:rPr>
      </w:pPr>
      <w:r>
        <w:rPr>
          <w:rFonts w:hint="default" w:ascii="Times New Roman" w:hAnsi="Times New Roman" w:cs="Times New Roman"/>
          <w:b/>
          <w:bCs/>
          <w:color w:val="auto"/>
          <w:spacing w:val="0"/>
          <w:szCs w:val="32"/>
          <w:highlight w:val="none"/>
        </w:rPr>
        <w:t xml:space="preserve">第三条  </w:t>
      </w:r>
      <w:r>
        <w:rPr>
          <w:rFonts w:hint="default" w:ascii="Times New Roman" w:hAnsi="Times New Roman" w:cs="Times New Roman"/>
          <w:color w:val="auto"/>
          <w:spacing w:val="0"/>
          <w:szCs w:val="32"/>
          <w:highlight w:val="none"/>
        </w:rPr>
        <w:t>本实施细则中所称居住证是指观山湖区公安部门颁发的贵州省居住证；本实施细则中所称“随迁子女”是指法定监护人在我区居住并持有观山湖区公安部门颁发的贵州省居住证（有效期内）的非观山湖区户籍人员适龄子女。</w:t>
      </w:r>
    </w:p>
    <w:p w14:paraId="70720F5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32" w:firstLineChars="200"/>
        <w:jc w:val="center"/>
        <w:textAlignment w:val="baseline"/>
        <w:rPr>
          <w:rFonts w:hint="default" w:ascii="Times New Roman" w:hAnsi="Times New Roman" w:eastAsia="黑体" w:cs="Times New Roman"/>
          <w:snapToGrid w:val="0"/>
          <w:color w:val="auto"/>
          <w:spacing w:val="0"/>
          <w:kern w:val="0"/>
          <w:szCs w:val="32"/>
          <w:highlight w:val="none"/>
        </w:rPr>
      </w:pPr>
      <w:r>
        <w:rPr>
          <w:rFonts w:hint="default" w:ascii="Times New Roman" w:hAnsi="Times New Roman" w:eastAsia="黑体" w:cs="Times New Roman"/>
          <w:snapToGrid w:val="0"/>
          <w:color w:val="auto"/>
          <w:spacing w:val="0"/>
          <w:kern w:val="0"/>
          <w:szCs w:val="32"/>
          <w:highlight w:val="none"/>
        </w:rPr>
        <w:t>第二章  入学保障措施</w:t>
      </w:r>
    </w:p>
    <w:p w14:paraId="7CED0C2A">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color w:val="auto"/>
          <w:spacing w:val="0"/>
          <w:szCs w:val="32"/>
          <w:highlight w:val="none"/>
        </w:rPr>
      </w:pPr>
      <w:r>
        <w:rPr>
          <w:rFonts w:hint="default" w:ascii="Times New Roman" w:hAnsi="Times New Roman" w:cs="Times New Roman"/>
          <w:b/>
          <w:bCs/>
          <w:color w:val="auto"/>
          <w:spacing w:val="0"/>
          <w:szCs w:val="32"/>
          <w:highlight w:val="none"/>
        </w:rPr>
        <w:t xml:space="preserve">第四条  </w:t>
      </w:r>
      <w:r>
        <w:rPr>
          <w:rFonts w:hint="default" w:ascii="Times New Roman" w:hAnsi="Times New Roman" w:cs="Times New Roman"/>
          <w:color w:val="auto"/>
          <w:spacing w:val="0"/>
          <w:szCs w:val="32"/>
          <w:highlight w:val="none"/>
        </w:rPr>
        <w:t>每年义务教育网上报名时间截止前，持有观山湖区有效期内居住证的外来人员适龄随迁子女可申请</w:t>
      </w:r>
      <w:r>
        <w:rPr>
          <w:rFonts w:hint="default" w:ascii="Times New Roman" w:hAnsi="Times New Roman" w:cs="Times New Roman"/>
          <w:color w:val="auto"/>
          <w:spacing w:val="0"/>
          <w:szCs w:val="32"/>
          <w:highlight w:val="none"/>
          <w:lang w:eastAsia="zh-CN"/>
        </w:rPr>
        <w:t>在观山湖区公办学校</w:t>
      </w:r>
      <w:r>
        <w:rPr>
          <w:rFonts w:hint="default" w:ascii="Times New Roman" w:hAnsi="Times New Roman" w:cs="Times New Roman"/>
          <w:color w:val="auto"/>
          <w:spacing w:val="0"/>
          <w:szCs w:val="32"/>
          <w:highlight w:val="none"/>
        </w:rPr>
        <w:t>升入小学一年级或初中一年级；申请入学的随迁子女年龄须符合入学当年贵阳市义务教育阶段招生要求。</w:t>
      </w:r>
    </w:p>
    <w:p w14:paraId="3E0A69E7">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b/>
          <w:bCs/>
          <w:color w:val="auto"/>
          <w:spacing w:val="0"/>
          <w:szCs w:val="32"/>
          <w:highlight w:val="none"/>
        </w:rPr>
      </w:pPr>
      <w:r>
        <w:rPr>
          <w:rFonts w:hint="default" w:ascii="Times New Roman" w:hAnsi="Times New Roman" w:cs="Times New Roman"/>
          <w:b/>
          <w:bCs/>
          <w:color w:val="auto"/>
          <w:spacing w:val="0"/>
          <w:szCs w:val="32"/>
          <w:highlight w:val="none"/>
        </w:rPr>
        <w:t xml:space="preserve">第五条  </w:t>
      </w:r>
      <w:r>
        <w:rPr>
          <w:rFonts w:hint="default" w:ascii="Times New Roman" w:hAnsi="Times New Roman" w:cs="Times New Roman"/>
          <w:bCs/>
          <w:color w:val="auto"/>
          <w:spacing w:val="0"/>
          <w:szCs w:val="32"/>
          <w:highlight w:val="none"/>
        </w:rPr>
        <w:t>随迁子女在观山湖区接受义务教育主要通过积分统筹和自主选择民办学校两种方式入学。</w:t>
      </w:r>
      <w:r>
        <w:rPr>
          <w:rFonts w:hint="default" w:ascii="Times New Roman" w:hAnsi="Times New Roman" w:cs="Times New Roman"/>
          <w:b/>
          <w:bCs/>
          <w:color w:val="auto"/>
          <w:spacing w:val="0"/>
          <w:szCs w:val="32"/>
          <w:highlight w:val="none"/>
        </w:rPr>
        <w:t xml:space="preserve"> </w:t>
      </w:r>
    </w:p>
    <w:p w14:paraId="535AAFD2">
      <w:pPr>
        <w:keepNext w:val="0"/>
        <w:keepLines w:val="0"/>
        <w:pageBreakBefore w:val="0"/>
        <w:wordWrap/>
        <w:overflowPunct/>
        <w:topLinePunct w:val="0"/>
        <w:bidi w:val="0"/>
        <w:spacing w:beforeAutospacing="0" w:afterAutospacing="0" w:line="560" w:lineRule="exact"/>
        <w:ind w:left="0" w:leftChars="0" w:firstLine="612" w:firstLineChars="200"/>
        <w:rPr>
          <w:rFonts w:hint="default" w:ascii="Times New Roman" w:hAnsi="Times New Roman" w:cs="Times New Roman"/>
          <w:color w:val="auto"/>
          <w:spacing w:val="0"/>
          <w:szCs w:val="32"/>
          <w:highlight w:val="none"/>
        </w:rPr>
      </w:pPr>
      <w:r>
        <w:rPr>
          <w:rFonts w:hint="default" w:ascii="Times New Roman" w:hAnsi="Times New Roman" w:cs="Times New Roman"/>
          <w:b/>
          <w:bCs/>
          <w:color w:val="auto"/>
          <w:spacing w:val="0"/>
          <w:sz w:val="31"/>
          <w:szCs w:val="31"/>
          <w:highlight w:val="none"/>
          <w:lang w:bidi="ar"/>
        </w:rPr>
        <w:t>1.积分统筹入学。</w:t>
      </w:r>
      <w:r>
        <w:rPr>
          <w:rFonts w:hint="default" w:ascii="Times New Roman" w:hAnsi="Times New Roman" w:cs="Times New Roman"/>
          <w:color w:val="auto"/>
          <w:spacing w:val="0"/>
          <w:szCs w:val="32"/>
          <w:highlight w:val="none"/>
        </w:rPr>
        <w:t>按照统一设置的积分项目进行积分，结合区域内学位情况，根据积分高低，统筹安排在</w:t>
      </w:r>
      <w:r>
        <w:rPr>
          <w:rFonts w:hint="default" w:ascii="Times New Roman" w:hAnsi="Times New Roman" w:cs="Times New Roman"/>
          <w:color w:val="auto"/>
          <w:spacing w:val="0"/>
          <w:szCs w:val="32"/>
          <w:highlight w:val="none"/>
          <w:lang w:eastAsia="zh-CN"/>
        </w:rPr>
        <w:t>有空余学位的公办学校</w:t>
      </w:r>
      <w:r>
        <w:rPr>
          <w:rFonts w:hint="default" w:ascii="Times New Roman" w:hAnsi="Times New Roman" w:cs="Times New Roman"/>
          <w:color w:val="auto"/>
          <w:spacing w:val="0"/>
          <w:szCs w:val="32"/>
          <w:highlight w:val="none"/>
        </w:rPr>
        <w:t xml:space="preserve">接受义务教育。 </w:t>
      </w:r>
    </w:p>
    <w:p w14:paraId="46ACDB19">
      <w:pPr>
        <w:keepNext w:val="0"/>
        <w:keepLines w:val="0"/>
        <w:pageBreakBefore w:val="0"/>
        <w:wordWrap/>
        <w:overflowPunct/>
        <w:topLinePunct w:val="0"/>
        <w:bidi w:val="0"/>
        <w:spacing w:beforeAutospacing="0" w:afterAutospacing="0" w:line="560" w:lineRule="exact"/>
        <w:ind w:left="0" w:leftChars="0" w:firstLine="612" w:firstLineChars="200"/>
        <w:rPr>
          <w:rFonts w:hint="default" w:ascii="Times New Roman" w:hAnsi="Times New Roman" w:cs="Times New Roman"/>
          <w:color w:val="auto"/>
          <w:spacing w:val="0"/>
          <w:szCs w:val="32"/>
          <w:highlight w:val="none"/>
        </w:rPr>
      </w:pPr>
      <w:r>
        <w:rPr>
          <w:rFonts w:hint="default" w:ascii="Times New Roman" w:hAnsi="Times New Roman" w:cs="Times New Roman"/>
          <w:b/>
          <w:bCs/>
          <w:color w:val="auto"/>
          <w:spacing w:val="0"/>
          <w:sz w:val="31"/>
          <w:szCs w:val="31"/>
          <w:highlight w:val="none"/>
          <w:lang w:bidi="ar"/>
        </w:rPr>
        <w:t>2.自主选择民办学校就读。</w:t>
      </w:r>
      <w:r>
        <w:rPr>
          <w:rFonts w:hint="default" w:ascii="Times New Roman" w:hAnsi="Times New Roman" w:cs="Times New Roman"/>
          <w:color w:val="auto"/>
          <w:spacing w:val="0"/>
          <w:szCs w:val="32"/>
          <w:highlight w:val="none"/>
        </w:rPr>
        <w:t>随迁子女还可通过“贵阳市义务教育入学服务平台”，自主填报观山湖区</w:t>
      </w:r>
      <w:r>
        <w:rPr>
          <w:rFonts w:hint="default" w:ascii="Times New Roman" w:hAnsi="Times New Roman" w:cs="Times New Roman"/>
          <w:color w:val="auto"/>
          <w:spacing w:val="0"/>
          <w:szCs w:val="32"/>
          <w:highlight w:val="none"/>
          <w:lang w:val="en-US" w:eastAsia="zh-CN"/>
        </w:rPr>
        <w:t>1所</w:t>
      </w:r>
      <w:r>
        <w:rPr>
          <w:rFonts w:hint="default" w:ascii="Times New Roman" w:hAnsi="Times New Roman" w:cs="Times New Roman"/>
          <w:color w:val="auto"/>
          <w:spacing w:val="0"/>
          <w:szCs w:val="32"/>
          <w:highlight w:val="none"/>
        </w:rPr>
        <w:t>民办义务教育学校，并通过电脑随机派位入学。</w:t>
      </w:r>
    </w:p>
    <w:p w14:paraId="7FBB3351">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color w:val="auto"/>
          <w:spacing w:val="0"/>
          <w:szCs w:val="32"/>
          <w:highlight w:val="none"/>
        </w:rPr>
      </w:pPr>
      <w:r>
        <w:rPr>
          <w:rFonts w:hint="default" w:ascii="Times New Roman" w:hAnsi="Times New Roman" w:cs="Times New Roman"/>
          <w:b/>
          <w:bCs/>
          <w:color w:val="auto"/>
          <w:spacing w:val="0"/>
          <w:szCs w:val="32"/>
          <w:highlight w:val="none"/>
        </w:rPr>
        <w:t xml:space="preserve">第六条 </w:t>
      </w:r>
      <w:r>
        <w:rPr>
          <w:rFonts w:hint="default" w:ascii="Times New Roman" w:hAnsi="Times New Roman" w:cs="Times New Roman"/>
          <w:color w:val="auto"/>
          <w:spacing w:val="0"/>
          <w:szCs w:val="32"/>
          <w:highlight w:val="none"/>
        </w:rPr>
        <w:t xml:space="preserve"> 累计积分规则。突出以居住证为主要积分入学依据，申请人以家庭为单位提供“法定监护人在观山湖区公安部门办理的贵州省居住证+法定监护人在贵阳市范围内社保局缴纳社保的证明资料（以养老保险缴纳清单为计算依据）”或“法定监护人在观山湖区公安部门办理的贵州省居住证+法定监护人作为法人在</w:t>
      </w:r>
      <w:r>
        <w:rPr>
          <w:rFonts w:hint="default" w:ascii="Times New Roman" w:hAnsi="Times New Roman" w:cs="Times New Roman"/>
          <w:color w:val="auto"/>
          <w:spacing w:val="0"/>
          <w:szCs w:val="32"/>
          <w:highlight w:val="none"/>
          <w:lang w:val="en-US" w:eastAsia="zh-CN"/>
        </w:rPr>
        <w:t>贵阳市</w:t>
      </w:r>
      <w:r>
        <w:rPr>
          <w:rFonts w:hint="default" w:ascii="Times New Roman" w:hAnsi="Times New Roman" w:cs="Times New Roman"/>
          <w:color w:val="auto"/>
          <w:spacing w:val="0"/>
          <w:szCs w:val="32"/>
          <w:highlight w:val="none"/>
        </w:rPr>
        <w:t>市场监管部门颁发的有效营业执照”，结合观山湖区</w:t>
      </w:r>
      <w:r>
        <w:rPr>
          <w:rFonts w:hint="default" w:ascii="Times New Roman" w:hAnsi="Times New Roman" w:cs="Times New Roman"/>
          <w:color w:val="auto"/>
          <w:spacing w:val="0"/>
          <w:szCs w:val="32"/>
          <w:highlight w:val="none"/>
          <w:lang w:eastAsia="zh-CN"/>
        </w:rPr>
        <w:t>公办</w:t>
      </w:r>
      <w:r>
        <w:rPr>
          <w:rFonts w:hint="default" w:ascii="Times New Roman" w:hAnsi="Times New Roman" w:cs="Times New Roman"/>
          <w:color w:val="auto"/>
          <w:spacing w:val="0"/>
          <w:szCs w:val="32"/>
          <w:highlight w:val="none"/>
        </w:rPr>
        <w:t>学校可用于保障随迁子女入学的学位情况，根据积分从高到低统筹安排入学。具体积分规则如下：</w:t>
      </w:r>
    </w:p>
    <w:p w14:paraId="3E4EF9CF">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color w:val="auto"/>
          <w:spacing w:val="0"/>
          <w:szCs w:val="32"/>
          <w:highlight w:val="none"/>
        </w:rPr>
      </w:pPr>
    </w:p>
    <w:p w14:paraId="331431D4">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color w:val="auto"/>
          <w:spacing w:val="0"/>
          <w:szCs w:val="32"/>
          <w:highlight w:val="none"/>
        </w:rPr>
      </w:pPr>
    </w:p>
    <w:tbl>
      <w:tblPr>
        <w:tblStyle w:val="17"/>
        <w:tblpPr w:leftFromText="180" w:rightFromText="180" w:vertAnchor="text" w:horzAnchor="page" w:tblpX="974" w:tblpY="374"/>
        <w:tblOverlap w:val="never"/>
        <w:tblW w:w="10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9"/>
        <w:gridCol w:w="5433"/>
      </w:tblGrid>
      <w:tr w14:paraId="166C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9" w:type="dxa"/>
          </w:tcPr>
          <w:p w14:paraId="1A013C64">
            <w:pPr>
              <w:keepNext w:val="0"/>
              <w:keepLines w:val="0"/>
              <w:pageBreakBefore w:val="0"/>
              <w:kinsoku/>
              <w:wordWrap/>
              <w:overflowPunct/>
              <w:topLinePunct w:val="0"/>
              <w:autoSpaceDE/>
              <w:autoSpaceDN/>
              <w:bidi w:val="0"/>
              <w:adjustRightInd/>
              <w:snapToGrid/>
              <w:spacing w:beforeAutospacing="0" w:afterAutospacing="0" w:line="360" w:lineRule="exact"/>
              <w:ind w:left="0" w:leftChars="0" w:hanging="276"/>
              <w:jc w:val="center"/>
              <w:textAlignment w:val="auto"/>
              <w:rPr>
                <w:rFonts w:ascii="仿宋_GB2312" w:hAnsi="仿宋_GB2312" w:cs="仿宋_GB2312"/>
                <w:b/>
                <w:color w:val="auto"/>
                <w:sz w:val="24"/>
                <w:szCs w:val="24"/>
                <w:highlight w:val="none"/>
              </w:rPr>
            </w:pPr>
            <w:r>
              <w:rPr>
                <w:rFonts w:hint="eastAsia" w:ascii="仿宋_GB2312" w:hAnsi="仿宋_GB2312" w:cs="仿宋_GB2312"/>
                <w:b/>
                <w:color w:val="auto"/>
                <w:sz w:val="24"/>
                <w:szCs w:val="24"/>
                <w:highlight w:val="none"/>
              </w:rPr>
              <w:t>规则一（按月计分）</w:t>
            </w:r>
          </w:p>
        </w:tc>
        <w:tc>
          <w:tcPr>
            <w:tcW w:w="5433" w:type="dxa"/>
          </w:tcPr>
          <w:p w14:paraId="464B2C89">
            <w:pPr>
              <w:keepNext w:val="0"/>
              <w:keepLines w:val="0"/>
              <w:pageBreakBefore w:val="0"/>
              <w:kinsoku/>
              <w:wordWrap/>
              <w:overflowPunct/>
              <w:topLinePunct w:val="0"/>
              <w:autoSpaceDE/>
              <w:autoSpaceDN/>
              <w:bidi w:val="0"/>
              <w:adjustRightInd/>
              <w:snapToGrid/>
              <w:spacing w:beforeAutospacing="0" w:afterAutospacing="0" w:line="360" w:lineRule="exact"/>
              <w:ind w:left="0" w:leftChars="0" w:hanging="276"/>
              <w:jc w:val="center"/>
              <w:textAlignment w:val="auto"/>
              <w:rPr>
                <w:rFonts w:ascii="仿宋_GB2312" w:hAnsi="仿宋_GB2312" w:cs="仿宋_GB2312"/>
                <w:b/>
                <w:color w:val="auto"/>
                <w:sz w:val="24"/>
                <w:szCs w:val="24"/>
                <w:highlight w:val="none"/>
              </w:rPr>
            </w:pPr>
            <w:r>
              <w:rPr>
                <w:rFonts w:hint="eastAsia" w:ascii="仿宋_GB2312" w:hAnsi="仿宋_GB2312" w:cs="仿宋_GB2312"/>
                <w:b/>
                <w:color w:val="auto"/>
                <w:sz w:val="24"/>
                <w:szCs w:val="24"/>
                <w:highlight w:val="none"/>
              </w:rPr>
              <w:t>规则二（按月计分）</w:t>
            </w:r>
          </w:p>
        </w:tc>
      </w:tr>
      <w:tr w14:paraId="639C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9" w:type="dxa"/>
          </w:tcPr>
          <w:p w14:paraId="20C126D1">
            <w:pPr>
              <w:keepNext w:val="0"/>
              <w:keepLines w:val="0"/>
              <w:pageBreakBefore w:val="0"/>
              <w:kinsoku/>
              <w:wordWrap/>
              <w:overflowPunct/>
              <w:topLinePunct w:val="0"/>
              <w:autoSpaceDE/>
              <w:autoSpaceDN/>
              <w:bidi w:val="0"/>
              <w:adjustRightInd/>
              <w:snapToGrid/>
              <w:spacing w:beforeAutospacing="0" w:afterAutospacing="0" w:line="360" w:lineRule="exact"/>
              <w:ind w:left="0" w:leftChars="0" w:hanging="275"/>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1.观山湖区有效居住证（IC卡）；</w:t>
            </w:r>
          </w:p>
        </w:tc>
        <w:tc>
          <w:tcPr>
            <w:tcW w:w="5433" w:type="dxa"/>
          </w:tcPr>
          <w:p w14:paraId="64EC60C4">
            <w:pPr>
              <w:keepNext w:val="0"/>
              <w:keepLines w:val="0"/>
              <w:pageBreakBefore w:val="0"/>
              <w:kinsoku/>
              <w:wordWrap/>
              <w:overflowPunct/>
              <w:topLinePunct w:val="0"/>
              <w:autoSpaceDE/>
              <w:autoSpaceDN/>
              <w:bidi w:val="0"/>
              <w:adjustRightInd/>
              <w:snapToGrid/>
              <w:spacing w:beforeAutospacing="0" w:afterAutospacing="0" w:line="360" w:lineRule="exact"/>
              <w:ind w:left="0" w:leftChars="0" w:hanging="275"/>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1.观山湖区有效居住证（IC卡）；</w:t>
            </w:r>
          </w:p>
        </w:tc>
      </w:tr>
      <w:tr w14:paraId="46EC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9" w:type="dxa"/>
          </w:tcPr>
          <w:p w14:paraId="19910552">
            <w:pPr>
              <w:keepNext w:val="0"/>
              <w:keepLines w:val="0"/>
              <w:pageBreakBefore w:val="0"/>
              <w:kinsoku/>
              <w:wordWrap/>
              <w:overflowPunct/>
              <w:topLinePunct w:val="0"/>
              <w:autoSpaceDE/>
              <w:autoSpaceDN/>
              <w:bidi w:val="0"/>
              <w:adjustRightInd/>
              <w:snapToGrid/>
              <w:spacing w:beforeAutospacing="0" w:afterAutospacing="0" w:line="360" w:lineRule="exact"/>
              <w:ind w:left="0" w:leftChars="0" w:hanging="275"/>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2.法定监护人在贵阳市范围内社保局缴纳社保的证明资料。</w:t>
            </w:r>
          </w:p>
        </w:tc>
        <w:tc>
          <w:tcPr>
            <w:tcW w:w="5433" w:type="dxa"/>
          </w:tcPr>
          <w:p w14:paraId="70DEC9FA">
            <w:pPr>
              <w:keepNext w:val="0"/>
              <w:keepLines w:val="0"/>
              <w:pageBreakBefore w:val="0"/>
              <w:kinsoku/>
              <w:wordWrap/>
              <w:overflowPunct/>
              <w:topLinePunct w:val="0"/>
              <w:autoSpaceDE/>
              <w:autoSpaceDN/>
              <w:bidi w:val="0"/>
              <w:adjustRightInd/>
              <w:snapToGrid/>
              <w:spacing w:beforeAutospacing="0" w:afterAutospacing="0" w:line="360" w:lineRule="exact"/>
              <w:ind w:left="0" w:leftChars="0" w:hanging="275"/>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2.法定监护人作为法人在贵阳市范围内市场监管部门颁发的有效营业执照。</w:t>
            </w:r>
          </w:p>
        </w:tc>
      </w:tr>
      <w:tr w14:paraId="493B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2" w:type="dxa"/>
            <w:gridSpan w:val="2"/>
          </w:tcPr>
          <w:p w14:paraId="03D4C105">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textAlignment w:val="auto"/>
              <w:rPr>
                <w:rFonts w:ascii="仿宋_GB2312" w:hAnsi="仿宋_GB2312" w:cs="仿宋_GB2312"/>
                <w:color w:val="auto"/>
                <w:sz w:val="24"/>
                <w:szCs w:val="24"/>
                <w:highlight w:val="none"/>
              </w:rPr>
            </w:pPr>
            <w:r>
              <w:rPr>
                <w:rFonts w:hint="eastAsia" w:ascii="仿宋_GB2312" w:hAnsi="仿宋_GB2312" w:cs="仿宋_GB2312"/>
                <w:b/>
                <w:color w:val="auto"/>
                <w:sz w:val="24"/>
                <w:szCs w:val="24"/>
                <w:highlight w:val="none"/>
              </w:rPr>
              <w:t>备注：</w:t>
            </w:r>
            <w:r>
              <w:rPr>
                <w:rFonts w:hint="eastAsia" w:ascii="仿宋_GB2312" w:hAnsi="仿宋_GB2312" w:cs="仿宋_GB2312"/>
                <w:color w:val="auto"/>
                <w:sz w:val="24"/>
                <w:szCs w:val="24"/>
                <w:highlight w:val="none"/>
              </w:rPr>
              <w:t>1.申请公办学位的随迁子女可任选一条规则进行积分,积分方式一经选定，不可更改。两种积分方式具有同等效力。 2.以上资料由适龄儿童法定监护人（父或母）一人提供，提供多个法定监护人相关资料的，重合部分不重复积分。</w:t>
            </w:r>
          </w:p>
        </w:tc>
      </w:tr>
    </w:tbl>
    <w:p w14:paraId="058410A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Times New Roman" w:cs="Times New Roman"/>
          <w:color w:val="auto"/>
          <w:spacing w:val="0"/>
          <w:szCs w:val="32"/>
          <w:highlight w:val="none"/>
        </w:rPr>
      </w:pPr>
      <w:r>
        <w:rPr>
          <w:rFonts w:hint="eastAsia" w:ascii="Times New Roman" w:hAnsi="Times New Roman" w:cs="Times New Roman"/>
          <w:b/>
          <w:bCs/>
          <w:color w:val="auto"/>
          <w:spacing w:val="0"/>
          <w:szCs w:val="32"/>
          <w:highlight w:val="none"/>
          <w:lang w:val="en-US" w:eastAsia="zh-CN"/>
        </w:rPr>
        <w:t>第七条</w:t>
      </w:r>
      <w:r>
        <w:rPr>
          <w:rFonts w:hint="eastAsia" w:ascii="Times New Roman" w:hAnsi="Times New Roman" w:cs="Times New Roman"/>
          <w:color w:val="auto"/>
          <w:spacing w:val="0"/>
          <w:szCs w:val="32"/>
          <w:highlight w:val="none"/>
          <w:lang w:val="en-US" w:eastAsia="zh-CN"/>
        </w:rPr>
        <w:t xml:space="preserve">  </w:t>
      </w:r>
      <w:r>
        <w:rPr>
          <w:rFonts w:hint="eastAsia" w:ascii="Times New Roman" w:hAnsi="Times New Roman" w:cs="Times New Roman"/>
          <w:color w:val="auto"/>
          <w:spacing w:val="0"/>
          <w:szCs w:val="32"/>
          <w:highlight w:val="none"/>
        </w:rPr>
        <w:t>积分时长计算原则。居住证、贵阳市社保及市场监管部门颁发的营业执照时长计算如下：</w:t>
      </w:r>
    </w:p>
    <w:tbl>
      <w:tblPr>
        <w:tblStyle w:val="17"/>
        <w:tblpPr w:leftFromText="180" w:rightFromText="180" w:vertAnchor="text" w:horzAnchor="page" w:tblpX="981" w:tblpY="137"/>
        <w:tblOverlap w:val="never"/>
        <w:tblW w:w="10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5963"/>
        <w:gridCol w:w="1962"/>
        <w:gridCol w:w="950"/>
      </w:tblGrid>
      <w:tr w14:paraId="6C92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25" w:type="dxa"/>
            <w:vAlign w:val="center"/>
          </w:tcPr>
          <w:p w14:paraId="5207556D">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b/>
                <w:color w:val="auto"/>
                <w:sz w:val="24"/>
                <w:szCs w:val="24"/>
                <w:highlight w:val="none"/>
              </w:rPr>
            </w:pPr>
            <w:r>
              <w:rPr>
                <w:rFonts w:hint="eastAsia" w:ascii="仿宋_GB2312" w:hAnsi="仿宋_GB2312" w:cs="仿宋_GB2312"/>
                <w:b/>
                <w:color w:val="auto"/>
                <w:sz w:val="24"/>
                <w:szCs w:val="24"/>
                <w:highlight w:val="none"/>
              </w:rPr>
              <w:t>项目</w:t>
            </w:r>
          </w:p>
        </w:tc>
        <w:tc>
          <w:tcPr>
            <w:tcW w:w="5963" w:type="dxa"/>
            <w:vAlign w:val="center"/>
          </w:tcPr>
          <w:p w14:paraId="2E7AE394">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b/>
                <w:color w:val="auto"/>
                <w:sz w:val="24"/>
                <w:szCs w:val="24"/>
                <w:highlight w:val="none"/>
              </w:rPr>
            </w:pPr>
            <w:r>
              <w:rPr>
                <w:rFonts w:hint="eastAsia" w:ascii="仿宋_GB2312" w:hAnsi="仿宋_GB2312" w:cs="仿宋_GB2312"/>
                <w:b/>
                <w:color w:val="auto"/>
                <w:sz w:val="24"/>
                <w:szCs w:val="24"/>
                <w:highlight w:val="none"/>
              </w:rPr>
              <w:t>计分说明</w:t>
            </w:r>
          </w:p>
        </w:tc>
        <w:tc>
          <w:tcPr>
            <w:tcW w:w="1962" w:type="dxa"/>
            <w:vAlign w:val="center"/>
          </w:tcPr>
          <w:p w14:paraId="6EA33E53">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b/>
                <w:color w:val="auto"/>
                <w:sz w:val="24"/>
                <w:szCs w:val="24"/>
                <w:highlight w:val="none"/>
              </w:rPr>
            </w:pPr>
            <w:r>
              <w:rPr>
                <w:rFonts w:hint="eastAsia" w:ascii="仿宋_GB2312" w:hAnsi="仿宋_GB2312" w:cs="仿宋_GB2312"/>
                <w:b/>
                <w:color w:val="auto"/>
                <w:sz w:val="21"/>
                <w:szCs w:val="21"/>
                <w:highlight w:val="none"/>
              </w:rPr>
              <w:t>分值（按月计分）</w:t>
            </w:r>
          </w:p>
        </w:tc>
        <w:tc>
          <w:tcPr>
            <w:tcW w:w="950" w:type="dxa"/>
            <w:vAlign w:val="center"/>
          </w:tcPr>
          <w:p w14:paraId="62684313">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b/>
                <w:color w:val="auto"/>
                <w:sz w:val="24"/>
                <w:szCs w:val="24"/>
                <w:highlight w:val="none"/>
              </w:rPr>
            </w:pPr>
            <w:r>
              <w:rPr>
                <w:rFonts w:hint="eastAsia" w:ascii="仿宋_GB2312" w:hAnsi="仿宋_GB2312" w:cs="仿宋_GB2312"/>
                <w:b/>
                <w:color w:val="auto"/>
                <w:sz w:val="24"/>
                <w:szCs w:val="24"/>
                <w:highlight w:val="none"/>
              </w:rPr>
              <w:t>满分</w:t>
            </w:r>
          </w:p>
        </w:tc>
      </w:tr>
      <w:tr w14:paraId="7F67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725" w:type="dxa"/>
            <w:vAlign w:val="center"/>
          </w:tcPr>
          <w:p w14:paraId="47F39B0B">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居住证</w:t>
            </w:r>
          </w:p>
          <w:p w14:paraId="7ECF42AC">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（IC卡）</w:t>
            </w:r>
          </w:p>
        </w:tc>
        <w:tc>
          <w:tcPr>
            <w:tcW w:w="5963" w:type="dxa"/>
            <w:vAlign w:val="center"/>
          </w:tcPr>
          <w:p w14:paraId="0A56D8FB">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472"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rPr>
              <w:t>居住证积分年限为近6年（72个月），计算时限为201</w:t>
            </w:r>
            <w:r>
              <w:rPr>
                <w:rFonts w:hint="eastAsia" w:ascii="仿宋_GB2312" w:hAnsi="仿宋_GB2312" w:cs="仿宋_GB2312"/>
                <w:color w:val="auto"/>
                <w:sz w:val="24"/>
                <w:szCs w:val="24"/>
                <w:highlight w:val="none"/>
                <w:lang w:val="en-US" w:eastAsia="zh-CN"/>
              </w:rPr>
              <w:t>9</w:t>
            </w:r>
            <w:r>
              <w:rPr>
                <w:rFonts w:hint="eastAsia" w:ascii="仿宋_GB2312" w:hAnsi="仿宋_GB2312" w:cs="仿宋_GB2312"/>
                <w:color w:val="auto"/>
                <w:sz w:val="24"/>
                <w:szCs w:val="24"/>
                <w:highlight w:val="none"/>
              </w:rPr>
              <w:t>年7月至202</w:t>
            </w:r>
            <w:r>
              <w:rPr>
                <w:rFonts w:hint="eastAsia" w:ascii="仿宋_GB2312" w:hAnsi="仿宋_GB2312" w:cs="仿宋_GB2312"/>
                <w:color w:val="auto"/>
                <w:sz w:val="24"/>
                <w:szCs w:val="24"/>
                <w:highlight w:val="none"/>
                <w:lang w:val="en-US" w:eastAsia="zh-CN"/>
              </w:rPr>
              <w:t>5</w:t>
            </w:r>
            <w:r>
              <w:rPr>
                <w:rFonts w:hint="eastAsia" w:ascii="仿宋_GB2312" w:hAnsi="仿宋_GB2312" w:cs="仿宋_GB2312"/>
                <w:color w:val="auto"/>
                <w:sz w:val="24"/>
                <w:szCs w:val="24"/>
                <w:highlight w:val="none"/>
              </w:rPr>
              <w:t>年6月</w:t>
            </w:r>
            <w:r>
              <w:rPr>
                <w:rFonts w:hint="eastAsia" w:ascii="仿宋_GB2312" w:hAnsi="仿宋_GB2312" w:cs="仿宋_GB2312"/>
                <w:b w:val="0"/>
                <w:bCs w:val="0"/>
                <w:color w:val="auto"/>
                <w:sz w:val="24"/>
                <w:szCs w:val="24"/>
                <w:highlight w:val="none"/>
                <w:lang w:eastAsia="zh-CN"/>
              </w:rPr>
              <w:t>，</w:t>
            </w:r>
            <w:r>
              <w:rPr>
                <w:rFonts w:hint="eastAsia" w:ascii="仿宋_GB2312" w:hAnsi="仿宋_GB2312" w:cs="仿宋_GB2312"/>
                <w:b w:val="0"/>
                <w:bCs w:val="0"/>
                <w:color w:val="auto"/>
                <w:sz w:val="24"/>
                <w:szCs w:val="24"/>
                <w:highlight w:val="none"/>
                <w:lang w:val="en-US" w:eastAsia="zh-CN"/>
              </w:rPr>
              <w:t>其中</w:t>
            </w:r>
            <w:r>
              <w:rPr>
                <w:rFonts w:hint="eastAsia" w:ascii="仿宋_GB2312" w:hAnsi="仿宋_GB2312" w:eastAsia="仿宋_GB2312" w:cs="仿宋_GB2312"/>
                <w:b w:val="0"/>
                <w:bCs w:val="0"/>
                <w:color w:val="auto"/>
                <w:sz w:val="24"/>
                <w:szCs w:val="24"/>
                <w:highlight w:val="none"/>
              </w:rPr>
              <w:t>法定监护人已在观山湖区域内购买</w:t>
            </w:r>
            <w:r>
              <w:rPr>
                <w:rFonts w:hint="eastAsia" w:ascii="仿宋_GB2312" w:hAnsi="仿宋_GB2312" w:eastAsia="仿宋_GB2312" w:cs="仿宋_GB2312"/>
                <w:b w:val="0"/>
                <w:bCs w:val="0"/>
                <w:color w:val="auto"/>
                <w:sz w:val="24"/>
                <w:szCs w:val="24"/>
                <w:highlight w:val="none"/>
                <w:lang w:eastAsia="zh-CN"/>
              </w:rPr>
              <w:t>住宅</w:t>
            </w:r>
            <w:r>
              <w:rPr>
                <w:rFonts w:hint="eastAsia" w:ascii="仿宋_GB2312" w:hAnsi="仿宋_GB2312" w:eastAsia="仿宋_GB2312" w:cs="仿宋_GB2312"/>
                <w:b w:val="0"/>
                <w:bCs w:val="0"/>
                <w:color w:val="auto"/>
                <w:sz w:val="24"/>
                <w:szCs w:val="24"/>
                <w:highlight w:val="none"/>
              </w:rPr>
              <w:t>商品房</w:t>
            </w:r>
            <w:r>
              <w:rPr>
                <w:rFonts w:hint="eastAsia" w:ascii="仿宋_GB2312" w:hAnsi="仿宋_GB2312" w:eastAsia="仿宋_GB2312" w:cs="仿宋_GB2312"/>
                <w:b w:val="0"/>
                <w:bCs w:val="0"/>
                <w:color w:val="auto"/>
                <w:sz w:val="24"/>
                <w:szCs w:val="24"/>
                <w:highlight w:val="none"/>
                <w:lang w:eastAsia="zh-CN"/>
              </w:rPr>
              <w:t>，且</w:t>
            </w:r>
            <w:r>
              <w:rPr>
                <w:rFonts w:hint="eastAsia" w:ascii="仿宋_GB2312" w:hAnsi="仿宋_GB2312" w:eastAsia="仿宋_GB2312" w:cs="仿宋_GB2312"/>
                <w:b w:val="0"/>
                <w:bCs w:val="0"/>
                <w:color w:val="auto"/>
                <w:sz w:val="24"/>
                <w:szCs w:val="24"/>
                <w:highlight w:val="none"/>
              </w:rPr>
              <w:t>能提供在贵阳市产权部门备案的购房合同或产权证(产权证或购房合同地址须对应有效期内的居住证地址），</w:t>
            </w:r>
            <w:r>
              <w:rPr>
                <w:rFonts w:hint="eastAsia" w:ascii="仿宋_GB2312" w:hAnsi="仿宋_GB2312" w:cs="仿宋_GB2312"/>
                <w:b w:val="0"/>
                <w:bCs w:val="0"/>
                <w:color w:val="auto"/>
                <w:sz w:val="24"/>
                <w:szCs w:val="24"/>
                <w:highlight w:val="none"/>
              </w:rPr>
              <w:t>居住证积分</w:t>
            </w:r>
            <w:r>
              <w:rPr>
                <w:rFonts w:hint="eastAsia" w:ascii="仿宋_GB2312" w:hAnsi="仿宋_GB2312" w:eastAsia="仿宋_GB2312" w:cs="仿宋_GB2312"/>
                <w:b w:val="0"/>
                <w:bCs w:val="0"/>
                <w:color w:val="auto"/>
                <w:sz w:val="24"/>
                <w:szCs w:val="24"/>
                <w:highlight w:val="none"/>
              </w:rPr>
              <w:t>可按满分144</w:t>
            </w:r>
            <w:r>
              <w:rPr>
                <w:rFonts w:hint="eastAsia" w:ascii="仿宋_GB2312" w:hAnsi="仿宋_GB2312" w:cs="仿宋_GB2312"/>
                <w:b w:val="0"/>
                <w:bCs w:val="0"/>
                <w:color w:val="auto"/>
                <w:sz w:val="24"/>
                <w:szCs w:val="24"/>
                <w:highlight w:val="none"/>
                <w:lang w:val="en-US" w:eastAsia="zh-CN"/>
              </w:rPr>
              <w:t>分计算</w:t>
            </w:r>
            <w:r>
              <w:rPr>
                <w:rFonts w:hint="eastAsia" w:ascii="仿宋_GB2312" w:hAnsi="仿宋_GB2312" w:cs="仿宋_GB2312"/>
                <w:b/>
                <w:bCs/>
                <w:color w:val="auto"/>
                <w:sz w:val="24"/>
                <w:szCs w:val="24"/>
                <w:highlight w:val="none"/>
                <w:lang w:val="en-US" w:eastAsia="zh-CN"/>
              </w:rPr>
              <w:t>。</w:t>
            </w:r>
          </w:p>
        </w:tc>
        <w:tc>
          <w:tcPr>
            <w:tcW w:w="1962" w:type="dxa"/>
            <w:vAlign w:val="center"/>
          </w:tcPr>
          <w:p w14:paraId="5D987B57">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p>
          <w:p w14:paraId="439DB5CD">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2分/月</w:t>
            </w:r>
          </w:p>
        </w:tc>
        <w:tc>
          <w:tcPr>
            <w:tcW w:w="950" w:type="dxa"/>
            <w:vAlign w:val="center"/>
          </w:tcPr>
          <w:p w14:paraId="4A0F6938">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p>
          <w:p w14:paraId="4C04C34A">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144分</w:t>
            </w:r>
          </w:p>
        </w:tc>
      </w:tr>
      <w:tr w14:paraId="29B6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14:paraId="424C5D7F">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0"/>
              <w:jc w:val="center"/>
              <w:textAlignment w:val="auto"/>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社保证明</w:t>
            </w:r>
          </w:p>
          <w:p w14:paraId="7E3FA5E2">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（规则一）</w:t>
            </w:r>
          </w:p>
        </w:tc>
        <w:tc>
          <w:tcPr>
            <w:tcW w:w="5963" w:type="dxa"/>
            <w:vAlign w:val="center"/>
          </w:tcPr>
          <w:p w14:paraId="63F82319">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472" w:firstLineChars="200"/>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法定监护人在贵阳市范围内社保局缴纳社保的证明资料（以养老保险缴纳清单为计算依据），近3年（36个月），计算时限为202</w:t>
            </w:r>
            <w:r>
              <w:rPr>
                <w:rFonts w:hint="eastAsia" w:ascii="仿宋_GB2312" w:hAnsi="仿宋_GB2312" w:cs="仿宋_GB2312"/>
                <w:color w:val="auto"/>
                <w:sz w:val="24"/>
                <w:szCs w:val="24"/>
                <w:highlight w:val="none"/>
                <w:lang w:val="en-US" w:eastAsia="zh-CN"/>
              </w:rPr>
              <w:t>2</w:t>
            </w:r>
            <w:r>
              <w:rPr>
                <w:rFonts w:hint="eastAsia" w:ascii="仿宋_GB2312" w:hAnsi="仿宋_GB2312" w:cs="仿宋_GB2312"/>
                <w:color w:val="auto"/>
                <w:sz w:val="24"/>
                <w:szCs w:val="24"/>
                <w:highlight w:val="none"/>
              </w:rPr>
              <w:t>年7月至202</w:t>
            </w:r>
            <w:r>
              <w:rPr>
                <w:rFonts w:hint="eastAsia" w:ascii="仿宋_GB2312" w:hAnsi="仿宋_GB2312" w:cs="仿宋_GB2312"/>
                <w:color w:val="auto"/>
                <w:sz w:val="24"/>
                <w:szCs w:val="24"/>
                <w:highlight w:val="none"/>
                <w:lang w:val="en-US" w:eastAsia="zh-CN"/>
              </w:rPr>
              <w:t>5</w:t>
            </w:r>
            <w:r>
              <w:rPr>
                <w:rFonts w:hint="eastAsia" w:ascii="仿宋_GB2312" w:hAnsi="仿宋_GB2312" w:cs="仿宋_GB2312"/>
                <w:color w:val="auto"/>
                <w:sz w:val="24"/>
                <w:szCs w:val="24"/>
                <w:highlight w:val="none"/>
              </w:rPr>
              <w:t>年6月。</w:t>
            </w:r>
          </w:p>
        </w:tc>
        <w:tc>
          <w:tcPr>
            <w:tcW w:w="1962" w:type="dxa"/>
            <w:vAlign w:val="center"/>
          </w:tcPr>
          <w:p w14:paraId="5A34E51C">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1分/月</w:t>
            </w:r>
          </w:p>
        </w:tc>
        <w:tc>
          <w:tcPr>
            <w:tcW w:w="950" w:type="dxa"/>
            <w:vAlign w:val="center"/>
          </w:tcPr>
          <w:p w14:paraId="47CD27E0">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36分</w:t>
            </w:r>
          </w:p>
        </w:tc>
      </w:tr>
      <w:tr w14:paraId="0B93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restart"/>
            <w:vAlign w:val="center"/>
          </w:tcPr>
          <w:p w14:paraId="3F4BEFDC">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工商营业执照（规则二）</w:t>
            </w:r>
          </w:p>
        </w:tc>
        <w:tc>
          <w:tcPr>
            <w:tcW w:w="5963" w:type="dxa"/>
            <w:vAlign w:val="center"/>
          </w:tcPr>
          <w:p w14:paraId="67EA9F90">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503" w:firstLineChars="213"/>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观山湖区市场监管部门颁发的有效营业执照。近3年（36个月），计算时限为202</w:t>
            </w:r>
            <w:r>
              <w:rPr>
                <w:rFonts w:hint="eastAsia" w:ascii="仿宋_GB2312" w:hAnsi="仿宋_GB2312" w:cs="仿宋_GB2312"/>
                <w:color w:val="auto"/>
                <w:sz w:val="24"/>
                <w:szCs w:val="24"/>
                <w:highlight w:val="none"/>
                <w:lang w:val="en-US" w:eastAsia="zh-CN"/>
              </w:rPr>
              <w:t>2</w:t>
            </w:r>
            <w:r>
              <w:rPr>
                <w:rFonts w:hint="eastAsia" w:ascii="仿宋_GB2312" w:hAnsi="仿宋_GB2312" w:cs="仿宋_GB2312"/>
                <w:color w:val="auto"/>
                <w:sz w:val="24"/>
                <w:szCs w:val="24"/>
                <w:highlight w:val="none"/>
              </w:rPr>
              <w:t>年7月至202</w:t>
            </w:r>
            <w:r>
              <w:rPr>
                <w:rFonts w:hint="eastAsia" w:ascii="仿宋_GB2312" w:hAnsi="仿宋_GB2312" w:cs="仿宋_GB2312"/>
                <w:color w:val="auto"/>
                <w:sz w:val="24"/>
                <w:szCs w:val="24"/>
                <w:highlight w:val="none"/>
                <w:lang w:val="en-US" w:eastAsia="zh-CN"/>
              </w:rPr>
              <w:t>5</w:t>
            </w:r>
            <w:r>
              <w:rPr>
                <w:rFonts w:hint="eastAsia" w:ascii="仿宋_GB2312" w:hAnsi="仿宋_GB2312" w:cs="仿宋_GB2312"/>
                <w:color w:val="auto"/>
                <w:sz w:val="24"/>
                <w:szCs w:val="24"/>
                <w:highlight w:val="none"/>
              </w:rPr>
              <w:t>年6月。</w:t>
            </w:r>
          </w:p>
        </w:tc>
        <w:tc>
          <w:tcPr>
            <w:tcW w:w="1962" w:type="dxa"/>
            <w:vAlign w:val="center"/>
          </w:tcPr>
          <w:p w14:paraId="09A9A1C0">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1分/月</w:t>
            </w:r>
          </w:p>
        </w:tc>
        <w:tc>
          <w:tcPr>
            <w:tcW w:w="950" w:type="dxa"/>
            <w:vAlign w:val="center"/>
          </w:tcPr>
          <w:p w14:paraId="5A2FA1C0">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36分</w:t>
            </w:r>
          </w:p>
        </w:tc>
      </w:tr>
      <w:tr w14:paraId="720A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vAlign w:val="center"/>
          </w:tcPr>
          <w:p w14:paraId="087018F4">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p>
        </w:tc>
        <w:tc>
          <w:tcPr>
            <w:tcW w:w="5963" w:type="dxa"/>
            <w:vAlign w:val="center"/>
          </w:tcPr>
          <w:p w14:paraId="630ED8C4">
            <w:pPr>
              <w:keepNext w:val="0"/>
              <w:keepLines w:val="0"/>
              <w:pageBreakBefore w:val="0"/>
              <w:widowControl w:val="0"/>
              <w:tabs>
                <w:tab w:val="left" w:pos="0"/>
              </w:tabs>
              <w:kinsoku/>
              <w:wordWrap/>
              <w:overflowPunct/>
              <w:topLinePunct w:val="0"/>
              <w:autoSpaceDE/>
              <w:autoSpaceDN/>
              <w:bidi w:val="0"/>
              <w:adjustRightInd/>
              <w:snapToGrid w:val="0"/>
              <w:spacing w:beforeAutospacing="0" w:afterAutospacing="0" w:line="360" w:lineRule="exact"/>
              <w:ind w:left="0" w:leftChars="0" w:firstLine="463" w:firstLineChars="196"/>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贵阳市范围内（除观山湖区外其它区县）市场监管部门颁发的有效营业执照。近3年（36个月），计算时限为202</w:t>
            </w:r>
            <w:r>
              <w:rPr>
                <w:rFonts w:hint="eastAsia" w:ascii="仿宋_GB2312" w:hAnsi="仿宋_GB2312" w:cs="仿宋_GB2312"/>
                <w:color w:val="auto"/>
                <w:sz w:val="24"/>
                <w:szCs w:val="24"/>
                <w:highlight w:val="none"/>
                <w:lang w:val="en-US" w:eastAsia="zh-CN"/>
              </w:rPr>
              <w:t>2</w:t>
            </w:r>
            <w:r>
              <w:rPr>
                <w:rFonts w:hint="eastAsia" w:ascii="仿宋_GB2312" w:hAnsi="仿宋_GB2312" w:cs="仿宋_GB2312"/>
                <w:color w:val="auto"/>
                <w:sz w:val="24"/>
                <w:szCs w:val="24"/>
                <w:highlight w:val="none"/>
              </w:rPr>
              <w:t>年7月至202</w:t>
            </w:r>
            <w:r>
              <w:rPr>
                <w:rFonts w:hint="eastAsia" w:ascii="仿宋_GB2312" w:hAnsi="仿宋_GB2312" w:cs="仿宋_GB2312"/>
                <w:color w:val="auto"/>
                <w:sz w:val="24"/>
                <w:szCs w:val="24"/>
                <w:highlight w:val="none"/>
                <w:lang w:val="en-US" w:eastAsia="zh-CN"/>
              </w:rPr>
              <w:t>5</w:t>
            </w:r>
            <w:r>
              <w:rPr>
                <w:rFonts w:hint="eastAsia" w:ascii="仿宋_GB2312" w:hAnsi="仿宋_GB2312" w:cs="仿宋_GB2312"/>
                <w:color w:val="auto"/>
                <w:sz w:val="24"/>
                <w:szCs w:val="24"/>
                <w:highlight w:val="none"/>
              </w:rPr>
              <w:t>年6月。</w:t>
            </w:r>
          </w:p>
        </w:tc>
        <w:tc>
          <w:tcPr>
            <w:tcW w:w="1962" w:type="dxa"/>
            <w:vAlign w:val="center"/>
          </w:tcPr>
          <w:p w14:paraId="01D92C9A">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0.5分/月</w:t>
            </w:r>
          </w:p>
        </w:tc>
        <w:tc>
          <w:tcPr>
            <w:tcW w:w="950" w:type="dxa"/>
            <w:vAlign w:val="center"/>
          </w:tcPr>
          <w:p w14:paraId="72193388">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jc w:val="center"/>
              <w:textAlignment w:val="auto"/>
              <w:rPr>
                <w:rFonts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18分</w:t>
            </w:r>
          </w:p>
        </w:tc>
      </w:tr>
      <w:tr w14:paraId="0DC4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0" w:type="dxa"/>
            <w:gridSpan w:val="4"/>
            <w:vAlign w:val="center"/>
          </w:tcPr>
          <w:p w14:paraId="19E5E2DD">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left="0" w:leftChars="0" w:firstLine="0" w:firstLineChars="0"/>
              <w:textAlignment w:val="auto"/>
              <w:rPr>
                <w:rFonts w:ascii="仿宋_GB2312" w:hAnsi="仿宋_GB2312" w:cs="仿宋_GB2312"/>
                <w:color w:val="auto"/>
                <w:sz w:val="24"/>
                <w:szCs w:val="24"/>
                <w:highlight w:val="none"/>
              </w:rPr>
            </w:pPr>
            <w:r>
              <w:rPr>
                <w:rFonts w:hint="eastAsia" w:ascii="仿宋_GB2312" w:hAnsi="仿宋_GB2312" w:cs="仿宋_GB2312"/>
                <w:b/>
                <w:color w:val="auto"/>
                <w:sz w:val="24"/>
                <w:szCs w:val="24"/>
                <w:highlight w:val="none"/>
              </w:rPr>
              <w:t>备注：</w:t>
            </w:r>
            <w:r>
              <w:rPr>
                <w:rFonts w:hint="eastAsia" w:ascii="仿宋_GB2312" w:hAnsi="仿宋_GB2312" w:cs="仿宋_GB2312"/>
                <w:color w:val="auto"/>
                <w:sz w:val="24"/>
                <w:szCs w:val="24"/>
                <w:highlight w:val="none"/>
              </w:rPr>
              <w:t>1.在积分年限内，观山湖区居住证出现中断的，可对中断前后资料进行累计计算积分。</w:t>
            </w:r>
          </w:p>
          <w:p w14:paraId="2438A6CE">
            <w:pPr>
              <w:pStyle w:val="38"/>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0" w:firstLineChars="0"/>
              <w:textAlignment w:val="auto"/>
              <w:rPr>
                <w:rFonts w:ascii="仿宋_GB2312" w:hAnsi="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总积分相同的，按照居住证累计时长积分确定排序；总积分和居住证累计时长积分相同的，按照贵阳市社保或市场监管部门颁发的营业执照时长积分确定排序；总积分、居住证累计时长积分、社保或营业执照时长积分相同的，按照截止至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年6月连续办理居住证时长积分确定排序；总积分、居住证累计时长积分、社保或营业执照时长积分、截止至202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年6月连续办理居住证时长积分相同的，按照居住证时长计算时限内办理居住证的时间先后确定排序。</w:t>
            </w:r>
          </w:p>
        </w:tc>
      </w:tr>
    </w:tbl>
    <w:p w14:paraId="14705FC2">
      <w:pPr>
        <w:tabs>
          <w:tab w:val="left" w:pos="422"/>
        </w:tabs>
        <w:bidi w:val="0"/>
        <w:jc w:val="left"/>
        <w:rPr>
          <w:rFonts w:hint="eastAsia" w:eastAsia="仿宋_GB2312"/>
          <w:lang w:eastAsia="zh-CN"/>
        </w:rPr>
        <w:sectPr>
          <w:headerReference r:id="rId3" w:type="default"/>
          <w:footerReference r:id="rId4" w:type="default"/>
          <w:footerReference r:id="rId5" w:type="even"/>
          <w:pgSz w:w="11906" w:h="16838"/>
          <w:pgMar w:top="2098" w:right="1474" w:bottom="1985" w:left="1588" w:header="851" w:footer="992" w:gutter="0"/>
          <w:pgNumType w:fmt="decimal"/>
          <w:cols w:space="720" w:num="1"/>
          <w:docGrid w:type="linesAndChars" w:linePitch="579" w:charSpace="-1024"/>
        </w:sectPr>
      </w:pPr>
    </w:p>
    <w:p w14:paraId="2320C2D3">
      <w:pPr>
        <w:keepNext w:val="0"/>
        <w:keepLines w:val="0"/>
        <w:pageBreakBefore w:val="0"/>
        <w:numPr>
          <w:ilvl w:val="0"/>
          <w:numId w:val="0"/>
        </w:numPr>
        <w:topLinePunct w:val="0"/>
        <w:bidi w:val="0"/>
        <w:spacing w:beforeAutospacing="0" w:afterAutospacing="0" w:line="460" w:lineRule="exact"/>
        <w:ind w:firstLine="648" w:firstLineChars="200"/>
        <w:rPr>
          <w:rFonts w:hint="eastAsia" w:ascii="仿宋_GB2312" w:hAnsi="仿宋_GB2312" w:eastAsia="仿宋_GB2312" w:cs="仿宋_GB2312"/>
          <w:b/>
          <w:bCs/>
          <w:color w:val="auto"/>
          <w:spacing w:val="4"/>
          <w:sz w:val="32"/>
          <w:szCs w:val="32"/>
          <w:highlight w:val="none"/>
          <w:lang w:val="en-US" w:eastAsia="zh-CN"/>
        </w:rPr>
      </w:pPr>
      <w:r>
        <w:rPr>
          <w:rFonts w:hint="eastAsia" w:ascii="仿宋_GB2312" w:hAnsi="仿宋_GB2312" w:eastAsia="仿宋_GB2312" w:cs="仿宋_GB2312"/>
          <w:b/>
          <w:bCs/>
          <w:color w:val="auto"/>
          <w:spacing w:val="4"/>
          <w:kern w:val="2"/>
          <w:sz w:val="32"/>
          <w:szCs w:val="32"/>
          <w:lang w:val="en-US" w:eastAsia="zh-CN" w:bidi="ar-SA"/>
        </w:rPr>
        <w:t>第八条</w:t>
      </w:r>
      <w:r>
        <w:rPr>
          <w:rFonts w:hint="eastAsia" w:ascii="仿宋_GB2312" w:hAnsi="仿宋_GB2312" w:cs="仿宋_GB2312"/>
          <w:b w:val="0"/>
          <w:bCs w:val="0"/>
          <w:color w:val="auto"/>
          <w:szCs w:val="32"/>
          <w:highlight w:val="none"/>
        </w:rPr>
        <w:t xml:space="preserve"> </w:t>
      </w:r>
      <w:r>
        <w:rPr>
          <w:rFonts w:hint="eastAsia" w:ascii="仿宋_GB2312" w:hAnsi="仿宋_GB2312" w:cs="仿宋_GB2312"/>
          <w:b w:val="0"/>
          <w:bCs w:val="0"/>
          <w:color w:val="auto"/>
          <w:szCs w:val="32"/>
          <w:highlight w:val="none"/>
          <w:lang w:val="en-US" w:eastAsia="zh-CN"/>
        </w:rPr>
        <w:t xml:space="preserve"> </w:t>
      </w:r>
      <w:r>
        <w:rPr>
          <w:rFonts w:hint="eastAsia" w:ascii="仿宋_GB2312" w:hAnsi="仿宋_GB2312" w:cs="仿宋_GB2312"/>
          <w:b w:val="0"/>
          <w:bCs w:val="0"/>
          <w:color w:val="auto"/>
          <w:szCs w:val="32"/>
          <w:highlight w:val="none"/>
        </w:rPr>
        <w:t>优先安排符合条件的脱贫家庭进城务工人员子女</w:t>
      </w:r>
      <w:r>
        <w:rPr>
          <w:rFonts w:hint="eastAsia" w:ascii="仿宋_GB2312" w:hAnsi="仿宋_GB2312" w:cs="仿宋_GB2312"/>
          <w:b w:val="0"/>
          <w:bCs w:val="0"/>
          <w:color w:val="auto"/>
          <w:szCs w:val="32"/>
          <w:highlight w:val="none"/>
          <w:lang w:val="en-US" w:eastAsia="zh-CN"/>
        </w:rPr>
        <w:t>入学。</w:t>
      </w:r>
      <w:r>
        <w:rPr>
          <w:rFonts w:hint="eastAsia" w:ascii="仿宋_GB2312" w:hAnsi="仿宋_GB2312" w:cs="仿宋_GB2312"/>
          <w:b w:val="0"/>
          <w:bCs w:val="0"/>
          <w:color w:val="auto"/>
          <w:szCs w:val="32"/>
          <w:highlight w:val="none"/>
        </w:rPr>
        <w:t>进城务工人员子女</w:t>
      </w:r>
      <w:r>
        <w:rPr>
          <w:rFonts w:hint="eastAsia" w:ascii="仿宋_GB2312" w:hAnsi="仿宋_GB2312" w:cs="仿宋_GB2312"/>
          <w:b w:val="0"/>
          <w:bCs w:val="0"/>
          <w:color w:val="auto"/>
          <w:szCs w:val="32"/>
          <w:highlight w:val="none"/>
          <w:lang w:val="en-US" w:eastAsia="zh-CN"/>
        </w:rPr>
        <w:t>在现场审核时，要及时提供</w:t>
      </w:r>
      <w:r>
        <w:rPr>
          <w:rFonts w:hint="eastAsia" w:ascii="仿宋_GB2312" w:hAnsi="仿宋_GB2312" w:cs="仿宋_GB2312"/>
          <w:b w:val="0"/>
          <w:bCs w:val="0"/>
          <w:color w:val="auto"/>
          <w:szCs w:val="32"/>
          <w:highlight w:val="none"/>
        </w:rPr>
        <w:t>脱贫家庭相关印证</w:t>
      </w:r>
      <w:r>
        <w:rPr>
          <w:rFonts w:hint="eastAsia" w:ascii="仿宋_GB2312" w:hAnsi="仿宋_GB2312" w:eastAsia="仿宋_GB2312" w:cs="仿宋_GB2312"/>
          <w:b w:val="0"/>
          <w:bCs w:val="0"/>
          <w:color w:val="auto"/>
          <w:sz w:val="32"/>
          <w:szCs w:val="32"/>
          <w:highlight w:val="none"/>
        </w:rPr>
        <w:t>资料</w:t>
      </w:r>
      <w:r>
        <w:rPr>
          <w:rFonts w:hint="eastAsia" w:ascii="仿宋_GB2312" w:hAnsi="仿宋_GB2312" w:eastAsia="仿宋_GB2312" w:cs="仿宋_GB2312"/>
          <w:b w:val="0"/>
          <w:bCs w:val="0"/>
          <w:color w:val="auto"/>
          <w:spacing w:val="4"/>
          <w:sz w:val="32"/>
          <w:szCs w:val="32"/>
          <w:highlight w:val="none"/>
          <w:lang w:val="en-US" w:eastAsia="zh-CN"/>
        </w:rPr>
        <w:t>。</w:t>
      </w:r>
    </w:p>
    <w:p w14:paraId="3292053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32" w:firstLineChars="200"/>
        <w:jc w:val="center"/>
        <w:textAlignment w:val="baseline"/>
        <w:rPr>
          <w:rFonts w:hint="default" w:ascii="Times New Roman" w:hAnsi="Times New Roman" w:eastAsia="黑体" w:cs="Times New Roman"/>
          <w:snapToGrid w:val="0"/>
          <w:color w:val="auto"/>
          <w:kern w:val="0"/>
          <w:sz w:val="32"/>
          <w:szCs w:val="32"/>
          <w:highlight w:val="none"/>
        </w:rPr>
      </w:pPr>
      <w:r>
        <w:rPr>
          <w:rFonts w:hint="default" w:ascii="Times New Roman" w:hAnsi="Times New Roman" w:eastAsia="黑体" w:cs="Times New Roman"/>
          <w:snapToGrid w:val="0"/>
          <w:color w:val="auto"/>
          <w:kern w:val="0"/>
          <w:sz w:val="32"/>
          <w:szCs w:val="32"/>
          <w:highlight w:val="none"/>
        </w:rPr>
        <w:t>第三章  申请流程</w:t>
      </w:r>
    </w:p>
    <w:p w14:paraId="35D54E4D">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b/>
          <w:color w:val="auto"/>
          <w:sz w:val="32"/>
          <w:szCs w:val="32"/>
          <w:highlight w:val="none"/>
        </w:rPr>
      </w:pPr>
      <w:r>
        <w:rPr>
          <w:rFonts w:hint="default" w:ascii="Times New Roman" w:hAnsi="Times New Roman" w:cs="Times New Roman"/>
          <w:b/>
          <w:bCs/>
          <w:color w:val="auto"/>
          <w:sz w:val="32"/>
          <w:szCs w:val="32"/>
          <w:highlight w:val="none"/>
        </w:rPr>
        <w:t xml:space="preserve">第九条  </w:t>
      </w:r>
      <w:r>
        <w:rPr>
          <w:rFonts w:hint="default" w:ascii="Times New Roman" w:hAnsi="Times New Roman" w:cs="Times New Roman"/>
          <w:color w:val="auto"/>
          <w:sz w:val="32"/>
          <w:szCs w:val="32"/>
          <w:highlight w:val="none"/>
        </w:rPr>
        <w:t>随迁子女入学须按照网上登记、现场审核积分、统筹派位、录取注册等程序开展。</w:t>
      </w:r>
    </w:p>
    <w:p w14:paraId="13C0071A">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第十条</w:t>
      </w:r>
      <w:r>
        <w:rPr>
          <w:rFonts w:hint="default" w:ascii="Times New Roman" w:hAnsi="Times New Roman" w:cs="Times New Roman"/>
          <w:color w:val="auto"/>
          <w:sz w:val="32"/>
          <w:szCs w:val="32"/>
          <w:highlight w:val="none"/>
        </w:rPr>
        <w:t xml:space="preserve">  按照贵阳市教育局统一安排，新生须通过“贵阳市义务教育入学服务平台”进行新生入学登记，符合登记条件的随迁子女方可按要求申请公办学位或选择民办学校报名。在“贵阳市义务教育入学服务平台”登记并申请公办学位的随迁子女，按照要求提供印证资料进行现场审核。审核通过的将由现场审核点按照积分原则进行公示，公示无异议后</w:t>
      </w:r>
      <w:r>
        <w:rPr>
          <w:rFonts w:hint="default" w:ascii="Times New Roman" w:hAnsi="Times New Roman" w:cs="Times New Roman"/>
          <w:color w:val="auto"/>
          <w:sz w:val="32"/>
          <w:szCs w:val="32"/>
          <w:highlight w:val="none"/>
          <w:lang w:eastAsia="zh-CN"/>
        </w:rPr>
        <w:t>由区教育局根据各校空余学校情况统筹</w:t>
      </w:r>
      <w:r>
        <w:rPr>
          <w:rFonts w:hint="default" w:ascii="Times New Roman" w:hAnsi="Times New Roman" w:cs="Times New Roman"/>
          <w:color w:val="auto"/>
          <w:sz w:val="32"/>
          <w:szCs w:val="32"/>
          <w:highlight w:val="none"/>
        </w:rPr>
        <w:t>安排入学。</w:t>
      </w:r>
    </w:p>
    <w:p w14:paraId="0BC23B97">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color w:val="auto"/>
          <w:sz w:val="32"/>
          <w:szCs w:val="32"/>
          <w:highlight w:val="none"/>
        </w:rPr>
      </w:pPr>
      <w:r>
        <w:rPr>
          <w:rStyle w:val="19"/>
          <w:rFonts w:hint="default" w:ascii="Times New Roman" w:hAnsi="Times New Roman" w:cs="Times New Roman"/>
          <w:color w:val="auto"/>
          <w:sz w:val="32"/>
          <w:szCs w:val="32"/>
          <w:highlight w:val="none"/>
        </w:rPr>
        <w:t xml:space="preserve">第十一条  </w:t>
      </w:r>
      <w:r>
        <w:rPr>
          <w:rFonts w:hint="default" w:ascii="Times New Roman" w:hAnsi="Times New Roman" w:cs="Times New Roman"/>
          <w:color w:val="auto"/>
          <w:sz w:val="32"/>
          <w:szCs w:val="32"/>
          <w:highlight w:val="none"/>
        </w:rPr>
        <w:t>未在规定时间内报名的随迁子女，视为自愿放弃在观山湖区接受义务教育；已被录取的随迁子女按要求在规定时间内到录取学校办理入学注册手续；未在规定时间内到安排的学校报到的随迁子女，视为自愿放弃录取资格，可选择回户籍所在地学校就读。</w:t>
      </w:r>
    </w:p>
    <w:p w14:paraId="17477035">
      <w:pPr>
        <w:keepNext w:val="0"/>
        <w:keepLines w:val="0"/>
        <w:pageBreakBefore w:val="0"/>
        <w:wordWrap/>
        <w:overflowPunct/>
        <w:topLinePunct w:val="0"/>
        <w:bidi w:val="0"/>
        <w:spacing w:beforeAutospacing="0" w:afterAutospacing="0" w:line="560" w:lineRule="exact"/>
        <w:ind w:left="0" w:leftChars="0" w:firstLine="632" w:firstLineChars="200"/>
        <w:jc w:val="center"/>
        <w:rPr>
          <w:rStyle w:val="19"/>
          <w:rFonts w:hint="default" w:ascii="Times New Roman" w:hAnsi="Times New Roman" w:cs="Times New Roman"/>
          <w:b w:val="0"/>
          <w:bCs/>
          <w:color w:val="auto"/>
          <w:sz w:val="32"/>
          <w:szCs w:val="32"/>
          <w:highlight w:val="none"/>
        </w:rPr>
      </w:pPr>
      <w:r>
        <w:rPr>
          <w:rStyle w:val="19"/>
          <w:rFonts w:hint="default" w:ascii="Times New Roman" w:hAnsi="Times New Roman" w:eastAsia="黑体" w:cs="Times New Roman"/>
          <w:b w:val="0"/>
          <w:bCs/>
          <w:color w:val="auto"/>
          <w:sz w:val="32"/>
          <w:szCs w:val="32"/>
          <w:highlight w:val="none"/>
        </w:rPr>
        <w:t>第四章  其他</w:t>
      </w:r>
    </w:p>
    <w:p w14:paraId="16309A79">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color w:val="auto"/>
          <w:sz w:val="32"/>
          <w:szCs w:val="32"/>
          <w:highlight w:val="none"/>
        </w:rPr>
      </w:pPr>
      <w:r>
        <w:rPr>
          <w:rStyle w:val="19"/>
          <w:rFonts w:hint="default" w:ascii="Times New Roman" w:hAnsi="Times New Roman" w:cs="Times New Roman"/>
          <w:color w:val="auto"/>
          <w:sz w:val="32"/>
          <w:szCs w:val="32"/>
          <w:highlight w:val="none"/>
        </w:rPr>
        <w:t xml:space="preserve">第十二条  </w:t>
      </w:r>
      <w:r>
        <w:rPr>
          <w:rFonts w:hint="default" w:ascii="Times New Roman" w:hAnsi="Times New Roman" w:cs="Times New Roman"/>
          <w:color w:val="auto"/>
          <w:sz w:val="32"/>
          <w:szCs w:val="32"/>
          <w:highlight w:val="none"/>
        </w:rPr>
        <w:t>随迁子女的法定监护人不是其父（母</w:t>
      </w:r>
      <w:bookmarkStart w:id="0" w:name="_GoBack"/>
      <w:bookmarkEnd w:id="0"/>
      <w:r>
        <w:rPr>
          <w:rFonts w:hint="default" w:ascii="Times New Roman" w:hAnsi="Times New Roman" w:cs="Times New Roman"/>
          <w:color w:val="auto"/>
          <w:sz w:val="32"/>
          <w:szCs w:val="32"/>
          <w:highlight w:val="none"/>
        </w:rPr>
        <w:t>）的，计算积分所需资料须提供法定监护人本人的</w:t>
      </w:r>
      <w:r>
        <w:rPr>
          <w:rFonts w:hint="default" w:ascii="Times New Roman" w:hAnsi="Times New Roman" w:cs="Times New Roman"/>
          <w:color w:val="auto"/>
          <w:sz w:val="32"/>
          <w:szCs w:val="32"/>
          <w:highlight w:val="none"/>
          <w:lang w:val="en-US" w:eastAsia="zh-CN"/>
        </w:rPr>
        <w:t>资料</w:t>
      </w:r>
      <w:r>
        <w:rPr>
          <w:rFonts w:hint="default" w:ascii="Times New Roman" w:hAnsi="Times New Roman" w:cs="Times New Roman"/>
          <w:color w:val="auto"/>
          <w:sz w:val="32"/>
          <w:szCs w:val="32"/>
          <w:highlight w:val="none"/>
        </w:rPr>
        <w:t>。</w:t>
      </w:r>
    </w:p>
    <w:p w14:paraId="7C4EC960">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color w:val="auto"/>
          <w:sz w:val="32"/>
          <w:szCs w:val="32"/>
          <w:highlight w:val="none"/>
        </w:rPr>
      </w:pPr>
      <w:r>
        <w:rPr>
          <w:rStyle w:val="19"/>
          <w:rFonts w:hint="default" w:ascii="Times New Roman" w:hAnsi="Times New Roman" w:cs="Times New Roman"/>
          <w:color w:val="auto"/>
          <w:sz w:val="32"/>
          <w:szCs w:val="32"/>
          <w:highlight w:val="none"/>
        </w:rPr>
        <w:t>第十三条</w:t>
      </w:r>
      <w:r>
        <w:rPr>
          <w:rStyle w:val="19"/>
          <w:rFonts w:hint="default" w:ascii="Times New Roman" w:hAnsi="Times New Roman" w:cs="Times New Roman"/>
          <w:bCs w:val="0"/>
          <w:color w:val="auto"/>
          <w:sz w:val="32"/>
          <w:szCs w:val="32"/>
          <w:highlight w:val="none"/>
        </w:rPr>
        <w:t xml:space="preserve">  </w:t>
      </w:r>
      <w:r>
        <w:rPr>
          <w:rFonts w:hint="default" w:ascii="Times New Roman" w:hAnsi="Times New Roman" w:cs="Times New Roman"/>
          <w:color w:val="auto"/>
          <w:sz w:val="32"/>
          <w:szCs w:val="32"/>
          <w:highlight w:val="none"/>
        </w:rPr>
        <w:t>随迁子女申请学位所提供的印证材料以及在“贵阳市义务教育入学服务平台”系统填报的信息均应真实有效，若存在隐瞒、欺骗、提供虚假证明材料，将取消其申请资格，已录取的撤销录取结果。</w:t>
      </w:r>
    </w:p>
    <w:p w14:paraId="09449525">
      <w:pPr>
        <w:keepNext w:val="0"/>
        <w:keepLines w:val="0"/>
        <w:pageBreakBefore w:val="0"/>
        <w:wordWrap/>
        <w:overflowPunct/>
        <w:topLinePunct w:val="0"/>
        <w:bidi w:val="0"/>
        <w:spacing w:beforeAutospacing="0" w:afterAutospacing="0" w:line="560" w:lineRule="exact"/>
        <w:ind w:left="0" w:leftChars="0" w:firstLine="632" w:firstLineChars="200"/>
        <w:rPr>
          <w:rFonts w:hint="default" w:ascii="Times New Roman" w:hAnsi="Times New Roman" w:cs="Times New Roman"/>
          <w:color w:val="auto"/>
          <w:sz w:val="32"/>
          <w:szCs w:val="32"/>
          <w:highlight w:val="none"/>
        </w:rPr>
      </w:pPr>
      <w:r>
        <w:rPr>
          <w:rStyle w:val="19"/>
          <w:rFonts w:hint="default" w:ascii="Times New Roman" w:hAnsi="Times New Roman" w:cs="Times New Roman"/>
          <w:color w:val="auto"/>
          <w:sz w:val="32"/>
          <w:szCs w:val="32"/>
          <w:highlight w:val="none"/>
        </w:rPr>
        <w:t xml:space="preserve">第十四条  </w:t>
      </w:r>
      <w:r>
        <w:rPr>
          <w:rFonts w:hint="default" w:ascii="Times New Roman" w:hAnsi="Times New Roman" w:cs="Times New Roman"/>
          <w:color w:val="auto"/>
          <w:sz w:val="32"/>
          <w:szCs w:val="32"/>
          <w:highlight w:val="none"/>
        </w:rPr>
        <w:t>需要在我区接受义务教育的港澳台居民随迁子女，按照《教育部办公厅关于贯彻落实港澳台居民居住证申领发放办法的通知》（教港澳台厅函</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2018</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64号），凭有效期内港澳台居民居住证，享受持内地（大陆）居住证公民的同等待遇，申请公办学位参照本细则执行。</w:t>
      </w:r>
    </w:p>
    <w:p w14:paraId="23A79A33">
      <w:pPr>
        <w:keepNext w:val="0"/>
        <w:keepLines w:val="0"/>
        <w:pageBreakBefore w:val="0"/>
        <w:wordWrap/>
        <w:overflowPunct/>
        <w:topLinePunct w:val="0"/>
        <w:bidi w:val="0"/>
        <w:spacing w:beforeAutospacing="0" w:afterAutospacing="0" w:line="560" w:lineRule="exact"/>
        <w:ind w:left="0" w:leftChars="0" w:firstLine="632" w:firstLineChars="200"/>
        <w:rPr>
          <w:color w:val="auto"/>
          <w:highlight w:val="none"/>
        </w:rPr>
      </w:pPr>
      <w:r>
        <w:rPr>
          <w:rStyle w:val="19"/>
          <w:rFonts w:hint="default" w:ascii="Times New Roman" w:hAnsi="Times New Roman" w:cs="Times New Roman"/>
          <w:color w:val="auto"/>
          <w:sz w:val="32"/>
          <w:szCs w:val="32"/>
          <w:highlight w:val="none"/>
        </w:rPr>
        <w:t>第十五条</w:t>
      </w:r>
      <w:r>
        <w:rPr>
          <w:rFonts w:hint="default" w:ascii="Times New Roman" w:hAnsi="Times New Roman" w:cs="Times New Roman"/>
          <w:color w:val="auto"/>
          <w:sz w:val="32"/>
          <w:szCs w:val="32"/>
          <w:highlight w:val="none"/>
        </w:rPr>
        <w:t xml:space="preserve">  本细则自印发之日起实施，由观山湖区教育局负责解释</w:t>
      </w:r>
      <w:r>
        <w:rPr>
          <w:rFonts w:hint="eastAsia" w:ascii="Times New Roman" w:hAnsi="Times New Roman" w:cs="Times New Roman"/>
          <w:color w:val="auto"/>
          <w:sz w:val="32"/>
          <w:szCs w:val="32"/>
          <w:highlight w:val="none"/>
          <w:lang w:eastAsia="zh-CN"/>
        </w:rPr>
        <w:t>。</w:t>
      </w:r>
    </w:p>
    <w:sectPr>
      <w:footerReference r:id="rId6" w:type="default"/>
      <w:footerReference r:id="rId7" w:type="even"/>
      <w:pgSz w:w="11906" w:h="16838"/>
      <w:pgMar w:top="2098" w:right="1474" w:bottom="1985" w:left="1588" w:header="851" w:footer="992" w:gutter="0"/>
      <w:pgNumType w:fmt="decimal"/>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D5EE1">
    <w:pPr>
      <w:pStyle w:val="11"/>
      <w:ind w:left="280" w:right="320" w:rightChars="100" w:hanging="280"/>
      <w:jc w:val="both"/>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6FE88">
                          <w:pPr>
                            <w:pStyle w:val="11"/>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default" w:ascii="Times New Roman" w:hAnsi="Times New Roman" w:cs="Times New Roman" w:eastAsia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46FE88">
                    <w:pPr>
                      <w:pStyle w:val="11"/>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default" w:ascii="Times New Roman" w:hAnsi="Times New Roman" w:cs="Times New Roman" w:eastAsiaTheme="minorEastAsia"/>
                        <w:sz w:val="28"/>
                        <w:szCs w:val="28"/>
                      </w:rPr>
                      <w:t>—</w:t>
                    </w:r>
                  </w:p>
                </w:txbxContent>
              </v:textbox>
            </v:shape>
          </w:pict>
        </mc:Fallback>
      </mc:AlternateContent>
    </w:r>
  </w:p>
  <w:p w14:paraId="664D3D7E">
    <w:pPr>
      <w:ind w:left="320" w:hanging="320"/>
    </w:pPr>
  </w:p>
  <w:p w14:paraId="572C0471">
    <w:pPr>
      <w:ind w:left="320" w:hanging="320"/>
    </w:pPr>
  </w:p>
  <w:p w14:paraId="1C605A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1525D">
    <w:pPr>
      <w:pStyle w:val="11"/>
      <w:ind w:left="180" w:hanging="18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6342D">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56342D">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6927B12A">
    <w:pPr>
      <w:ind w:left="320" w:hanging="320"/>
    </w:pPr>
  </w:p>
  <w:p w14:paraId="67726613">
    <w:pPr>
      <w:ind w:left="320" w:hanging="320"/>
    </w:pPr>
  </w:p>
  <w:p w14:paraId="0BC24D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56BD">
    <w:pPr>
      <w:pStyle w:val="11"/>
      <w:ind w:left="280" w:right="320" w:rightChars="100" w:hanging="280"/>
      <w:jc w:val="both"/>
      <w:rPr>
        <w:rFonts w:ascii="仿宋" w:hAnsi="仿宋" w:eastAsia="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84AE7">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C84AE7">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10FEC739">
    <w:pPr>
      <w:ind w:left="320" w:hanging="320"/>
    </w:pPr>
  </w:p>
  <w:p w14:paraId="7216AEE4">
    <w:pPr>
      <w:ind w:left="320" w:hanging="320"/>
    </w:pPr>
  </w:p>
  <w:p w14:paraId="6E725D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CFA8">
    <w:pPr>
      <w:pStyle w:val="11"/>
      <w:ind w:left="180" w:hanging="18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22486">
                          <w:pPr>
                            <w:pStyle w:val="11"/>
                            <w:rPr>
                              <w:sz w:val="28"/>
                              <w:szCs w:val="28"/>
                            </w:rPr>
                          </w:pPr>
                          <w:r>
                            <w:rPr>
                              <w:sz w:val="28"/>
                              <w:szCs w:val="28"/>
                            </w:rPr>
                            <w:t>—</w:t>
                          </w:r>
                          <w:r>
                            <w:rPr>
                              <w:rFonts w:hint="default" w:ascii="Times New Roman" w:hAnsi="Times New Roman" w:cs="Times New Roman"/>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A22486">
                    <w:pPr>
                      <w:pStyle w:val="11"/>
                      <w:rPr>
                        <w:sz w:val="28"/>
                        <w:szCs w:val="28"/>
                      </w:rPr>
                    </w:pPr>
                    <w:r>
                      <w:rPr>
                        <w:sz w:val="28"/>
                        <w:szCs w:val="28"/>
                      </w:rPr>
                      <w:t>—</w:t>
                    </w:r>
                    <w:r>
                      <w:rPr>
                        <w:rFonts w:hint="default" w:ascii="Times New Roman" w:hAnsi="Times New Roman" w:cs="Times New Roman"/>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sz w:val="28"/>
                        <w:szCs w:val="28"/>
                      </w:rPr>
                      <w:t xml:space="preserve"> —</w:t>
                    </w:r>
                  </w:p>
                </w:txbxContent>
              </v:textbox>
            </v:shape>
          </w:pict>
        </mc:Fallback>
      </mc:AlternateContent>
    </w:r>
  </w:p>
  <w:p w14:paraId="04BEEF77">
    <w:pPr>
      <w:ind w:left="320" w:hanging="320"/>
    </w:pPr>
  </w:p>
  <w:p w14:paraId="6B8AEA3D">
    <w:pPr>
      <w:ind w:left="320" w:hanging="320"/>
    </w:pPr>
  </w:p>
  <w:p w14:paraId="17A0955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83847">
    <w:pPr>
      <w:pStyle w:val="12"/>
      <w:pBdr>
        <w:bottom w:val="none" w:color="auto" w:sz="0" w:space="1"/>
      </w:pBdr>
      <w:tabs>
        <w:tab w:val="left" w:pos="3698"/>
      </w:tabs>
      <w:jc w:val="left"/>
      <w:rPr>
        <w:rFonts w:hint="eastAsia" w:eastAsia="仿宋_GB2312"/>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43E4F"/>
    <w:multiLevelType w:val="multilevel"/>
    <w:tmpl w:val="12A43E4F"/>
    <w:lvl w:ilvl="0" w:tentative="0">
      <w:start w:val="1"/>
      <w:numFmt w:val="decimal"/>
      <w:suff w:val="space"/>
      <w:lvlText w:val="第%1章"/>
      <w:lvlJc w:val="left"/>
      <w:pPr>
        <w:ind w:left="3685"/>
      </w:pPr>
      <w:rPr>
        <w:rFonts w:hint="eastAsia"/>
      </w:rPr>
    </w:lvl>
    <w:lvl w:ilvl="1" w:tentative="0">
      <w:start w:val="1"/>
      <w:numFmt w:val="decimal"/>
      <w:suff w:val="space"/>
      <w:lvlText w:val="§%1.%2"/>
      <w:lvlJc w:val="left"/>
      <w:rPr>
        <w:rFonts w:hint="eastAsia"/>
      </w:rPr>
    </w:lvl>
    <w:lvl w:ilvl="2" w:tentative="0">
      <w:start w:val="1"/>
      <w:numFmt w:val="decimal"/>
      <w:suff w:val="space"/>
      <w:lvlText w:val="§%1.%2.%3"/>
      <w:lvlJc w:val="left"/>
      <w:rPr>
        <w:rFonts w:hint="eastAsia"/>
      </w:rPr>
    </w:lvl>
    <w:lvl w:ilvl="3" w:tentative="0">
      <w:start w:val="1"/>
      <w:numFmt w:val="decimal"/>
      <w:pStyle w:val="37"/>
      <w:suff w:val="space"/>
      <w:lvlText w:val="(%4)"/>
      <w:lvlJc w:val="left"/>
      <w:rPr>
        <w:rFonts w:hint="eastAsia"/>
      </w:rPr>
    </w:lvl>
    <w:lvl w:ilvl="4" w:tentative="0">
      <w:start w:val="1"/>
      <w:numFmt w:val="bullet"/>
      <w:suff w:val="space"/>
      <w:lvlText w:val=""/>
      <w:lvlJc w:val="left"/>
      <w:rPr>
        <w:rFonts w:ascii="Wingdings" w:hAnsi="Wingdings"/>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ODYxYTM3N2JmMGEwNGQ0NzI0MWQwNmMzYTc5YjMifQ=="/>
  </w:docVars>
  <w:rsids>
    <w:rsidRoot w:val="005A295F"/>
    <w:rsid w:val="00002353"/>
    <w:rsid w:val="00002DDB"/>
    <w:rsid w:val="00003E96"/>
    <w:rsid w:val="00005175"/>
    <w:rsid w:val="00006F18"/>
    <w:rsid w:val="00010BB5"/>
    <w:rsid w:val="00010DB0"/>
    <w:rsid w:val="00012E1D"/>
    <w:rsid w:val="00013B6F"/>
    <w:rsid w:val="00015B8D"/>
    <w:rsid w:val="0001667B"/>
    <w:rsid w:val="000228FE"/>
    <w:rsid w:val="00024571"/>
    <w:rsid w:val="000276E7"/>
    <w:rsid w:val="00030899"/>
    <w:rsid w:val="0003736A"/>
    <w:rsid w:val="00040CF6"/>
    <w:rsid w:val="000463FF"/>
    <w:rsid w:val="00047160"/>
    <w:rsid w:val="00047496"/>
    <w:rsid w:val="0005149B"/>
    <w:rsid w:val="0005284E"/>
    <w:rsid w:val="00055CC0"/>
    <w:rsid w:val="00060886"/>
    <w:rsid w:val="000619DD"/>
    <w:rsid w:val="00064DB0"/>
    <w:rsid w:val="00065843"/>
    <w:rsid w:val="000670B9"/>
    <w:rsid w:val="000672CC"/>
    <w:rsid w:val="0007150A"/>
    <w:rsid w:val="000739DE"/>
    <w:rsid w:val="00073A58"/>
    <w:rsid w:val="00073C5E"/>
    <w:rsid w:val="00074D65"/>
    <w:rsid w:val="000814A7"/>
    <w:rsid w:val="00086CB5"/>
    <w:rsid w:val="00090C98"/>
    <w:rsid w:val="00091A1C"/>
    <w:rsid w:val="00092F1B"/>
    <w:rsid w:val="00096763"/>
    <w:rsid w:val="00096CAB"/>
    <w:rsid w:val="000A291D"/>
    <w:rsid w:val="000A3612"/>
    <w:rsid w:val="000B1039"/>
    <w:rsid w:val="000B1468"/>
    <w:rsid w:val="000B4414"/>
    <w:rsid w:val="000B4D0B"/>
    <w:rsid w:val="000B749F"/>
    <w:rsid w:val="000C1A04"/>
    <w:rsid w:val="000C68D9"/>
    <w:rsid w:val="000D4B71"/>
    <w:rsid w:val="000D6EBA"/>
    <w:rsid w:val="000E1AEE"/>
    <w:rsid w:val="000E28B4"/>
    <w:rsid w:val="000E4E19"/>
    <w:rsid w:val="000E6218"/>
    <w:rsid w:val="000E788E"/>
    <w:rsid w:val="000F092D"/>
    <w:rsid w:val="000F3E4B"/>
    <w:rsid w:val="000F5C92"/>
    <w:rsid w:val="000F7552"/>
    <w:rsid w:val="001009C4"/>
    <w:rsid w:val="00106017"/>
    <w:rsid w:val="00110600"/>
    <w:rsid w:val="00117E5F"/>
    <w:rsid w:val="0012140C"/>
    <w:rsid w:val="001217CB"/>
    <w:rsid w:val="001265E8"/>
    <w:rsid w:val="00126835"/>
    <w:rsid w:val="00126EB2"/>
    <w:rsid w:val="00127947"/>
    <w:rsid w:val="00133E3A"/>
    <w:rsid w:val="001406BF"/>
    <w:rsid w:val="0014269D"/>
    <w:rsid w:val="001460B2"/>
    <w:rsid w:val="00147E9A"/>
    <w:rsid w:val="001512BC"/>
    <w:rsid w:val="00151E98"/>
    <w:rsid w:val="00155CC4"/>
    <w:rsid w:val="00160D91"/>
    <w:rsid w:val="0016193E"/>
    <w:rsid w:val="001643A4"/>
    <w:rsid w:val="001701E4"/>
    <w:rsid w:val="00175076"/>
    <w:rsid w:val="00177053"/>
    <w:rsid w:val="00182475"/>
    <w:rsid w:val="001900B6"/>
    <w:rsid w:val="00190298"/>
    <w:rsid w:val="00190468"/>
    <w:rsid w:val="00195989"/>
    <w:rsid w:val="00197033"/>
    <w:rsid w:val="001A10D4"/>
    <w:rsid w:val="001A3A4A"/>
    <w:rsid w:val="001A6226"/>
    <w:rsid w:val="001A6D73"/>
    <w:rsid w:val="001A6EC9"/>
    <w:rsid w:val="001A72FE"/>
    <w:rsid w:val="001A7795"/>
    <w:rsid w:val="001B46F1"/>
    <w:rsid w:val="001B671C"/>
    <w:rsid w:val="001B721C"/>
    <w:rsid w:val="001C2976"/>
    <w:rsid w:val="001C3324"/>
    <w:rsid w:val="001C795F"/>
    <w:rsid w:val="001C7BA4"/>
    <w:rsid w:val="001D2D8D"/>
    <w:rsid w:val="001D4191"/>
    <w:rsid w:val="001D7D63"/>
    <w:rsid w:val="001E0A7A"/>
    <w:rsid w:val="001E2524"/>
    <w:rsid w:val="001E35A6"/>
    <w:rsid w:val="001E47C9"/>
    <w:rsid w:val="001E5E90"/>
    <w:rsid w:val="001F1A1D"/>
    <w:rsid w:val="001F3749"/>
    <w:rsid w:val="002006F1"/>
    <w:rsid w:val="00201DBE"/>
    <w:rsid w:val="00201FBD"/>
    <w:rsid w:val="00205A0F"/>
    <w:rsid w:val="00206CD0"/>
    <w:rsid w:val="00211055"/>
    <w:rsid w:val="00211D11"/>
    <w:rsid w:val="002122B7"/>
    <w:rsid w:val="0021284A"/>
    <w:rsid w:val="00212FAF"/>
    <w:rsid w:val="00215C8F"/>
    <w:rsid w:val="00216A17"/>
    <w:rsid w:val="00222116"/>
    <w:rsid w:val="002221B8"/>
    <w:rsid w:val="00235931"/>
    <w:rsid w:val="00241A3E"/>
    <w:rsid w:val="00244657"/>
    <w:rsid w:val="00244E0F"/>
    <w:rsid w:val="00245F39"/>
    <w:rsid w:val="002466FE"/>
    <w:rsid w:val="00246A35"/>
    <w:rsid w:val="0025003E"/>
    <w:rsid w:val="0025114B"/>
    <w:rsid w:val="00254FC4"/>
    <w:rsid w:val="00255C8B"/>
    <w:rsid w:val="00256057"/>
    <w:rsid w:val="00264178"/>
    <w:rsid w:val="00264A70"/>
    <w:rsid w:val="00267D4E"/>
    <w:rsid w:val="00270BBB"/>
    <w:rsid w:val="00270CEC"/>
    <w:rsid w:val="0027170B"/>
    <w:rsid w:val="00274EA9"/>
    <w:rsid w:val="00275B68"/>
    <w:rsid w:val="0027684A"/>
    <w:rsid w:val="00276E92"/>
    <w:rsid w:val="00277127"/>
    <w:rsid w:val="00277AEE"/>
    <w:rsid w:val="00277B08"/>
    <w:rsid w:val="00280D36"/>
    <w:rsid w:val="002818D3"/>
    <w:rsid w:val="0028192F"/>
    <w:rsid w:val="00283021"/>
    <w:rsid w:val="002830B0"/>
    <w:rsid w:val="00286E92"/>
    <w:rsid w:val="00287700"/>
    <w:rsid w:val="00293912"/>
    <w:rsid w:val="00296D56"/>
    <w:rsid w:val="00297779"/>
    <w:rsid w:val="002A35BA"/>
    <w:rsid w:val="002A5B7E"/>
    <w:rsid w:val="002A7E1C"/>
    <w:rsid w:val="002B05DE"/>
    <w:rsid w:val="002B1872"/>
    <w:rsid w:val="002B542B"/>
    <w:rsid w:val="002B6356"/>
    <w:rsid w:val="002C3710"/>
    <w:rsid w:val="002C4074"/>
    <w:rsid w:val="002C7D42"/>
    <w:rsid w:val="002D492C"/>
    <w:rsid w:val="002E4822"/>
    <w:rsid w:val="002E497F"/>
    <w:rsid w:val="002E644E"/>
    <w:rsid w:val="002F3505"/>
    <w:rsid w:val="003028B8"/>
    <w:rsid w:val="00304537"/>
    <w:rsid w:val="00304D40"/>
    <w:rsid w:val="00305540"/>
    <w:rsid w:val="00305EA5"/>
    <w:rsid w:val="00306DBF"/>
    <w:rsid w:val="0031180D"/>
    <w:rsid w:val="00311F2E"/>
    <w:rsid w:val="003166C5"/>
    <w:rsid w:val="00317C44"/>
    <w:rsid w:val="00320BB1"/>
    <w:rsid w:val="0032229C"/>
    <w:rsid w:val="00322ED0"/>
    <w:rsid w:val="003264C8"/>
    <w:rsid w:val="003343C6"/>
    <w:rsid w:val="00337919"/>
    <w:rsid w:val="00343F83"/>
    <w:rsid w:val="003454EF"/>
    <w:rsid w:val="00345CF6"/>
    <w:rsid w:val="00346CA0"/>
    <w:rsid w:val="00350363"/>
    <w:rsid w:val="00350D3E"/>
    <w:rsid w:val="0035261A"/>
    <w:rsid w:val="0035494F"/>
    <w:rsid w:val="00355951"/>
    <w:rsid w:val="003653D2"/>
    <w:rsid w:val="00366C7F"/>
    <w:rsid w:val="0037484B"/>
    <w:rsid w:val="00385285"/>
    <w:rsid w:val="003855AC"/>
    <w:rsid w:val="0038593F"/>
    <w:rsid w:val="00386F1C"/>
    <w:rsid w:val="00392EE9"/>
    <w:rsid w:val="00394449"/>
    <w:rsid w:val="003A049F"/>
    <w:rsid w:val="003A2F29"/>
    <w:rsid w:val="003A49A8"/>
    <w:rsid w:val="003A6E56"/>
    <w:rsid w:val="003B17F4"/>
    <w:rsid w:val="003B21CA"/>
    <w:rsid w:val="003B2AF9"/>
    <w:rsid w:val="003B3980"/>
    <w:rsid w:val="003B6E6C"/>
    <w:rsid w:val="003C19A0"/>
    <w:rsid w:val="003C2630"/>
    <w:rsid w:val="003C33DA"/>
    <w:rsid w:val="003C5E90"/>
    <w:rsid w:val="003C6239"/>
    <w:rsid w:val="003C753B"/>
    <w:rsid w:val="003C7C0E"/>
    <w:rsid w:val="003D3CCD"/>
    <w:rsid w:val="003D4024"/>
    <w:rsid w:val="003D513A"/>
    <w:rsid w:val="003E2766"/>
    <w:rsid w:val="003E425B"/>
    <w:rsid w:val="003F12F0"/>
    <w:rsid w:val="003F252D"/>
    <w:rsid w:val="003F6948"/>
    <w:rsid w:val="004012E5"/>
    <w:rsid w:val="00405378"/>
    <w:rsid w:val="00406A5F"/>
    <w:rsid w:val="00406F75"/>
    <w:rsid w:val="0040719B"/>
    <w:rsid w:val="004109F2"/>
    <w:rsid w:val="00417971"/>
    <w:rsid w:val="00417E87"/>
    <w:rsid w:val="004215C4"/>
    <w:rsid w:val="00423B35"/>
    <w:rsid w:val="00425BDE"/>
    <w:rsid w:val="00431D3D"/>
    <w:rsid w:val="004322D4"/>
    <w:rsid w:val="0043424A"/>
    <w:rsid w:val="004344D5"/>
    <w:rsid w:val="0043647E"/>
    <w:rsid w:val="00446508"/>
    <w:rsid w:val="004512FF"/>
    <w:rsid w:val="00452241"/>
    <w:rsid w:val="00455698"/>
    <w:rsid w:val="004557AE"/>
    <w:rsid w:val="00455D46"/>
    <w:rsid w:val="00460CE1"/>
    <w:rsid w:val="0046561B"/>
    <w:rsid w:val="0047273C"/>
    <w:rsid w:val="0047434C"/>
    <w:rsid w:val="00480449"/>
    <w:rsid w:val="004809A4"/>
    <w:rsid w:val="0048134E"/>
    <w:rsid w:val="00481D5A"/>
    <w:rsid w:val="004825DB"/>
    <w:rsid w:val="0049009D"/>
    <w:rsid w:val="00490E17"/>
    <w:rsid w:val="00491C1A"/>
    <w:rsid w:val="00493C62"/>
    <w:rsid w:val="00493E6C"/>
    <w:rsid w:val="004946B0"/>
    <w:rsid w:val="004A52A6"/>
    <w:rsid w:val="004B13C6"/>
    <w:rsid w:val="004B19B8"/>
    <w:rsid w:val="004B1E25"/>
    <w:rsid w:val="004B70FF"/>
    <w:rsid w:val="004B792A"/>
    <w:rsid w:val="004C12FA"/>
    <w:rsid w:val="004C1B45"/>
    <w:rsid w:val="004C20EF"/>
    <w:rsid w:val="004C2A57"/>
    <w:rsid w:val="004C40DD"/>
    <w:rsid w:val="004D0E17"/>
    <w:rsid w:val="004D1368"/>
    <w:rsid w:val="004D2C42"/>
    <w:rsid w:val="004D69C6"/>
    <w:rsid w:val="004E2BF7"/>
    <w:rsid w:val="004E395F"/>
    <w:rsid w:val="004E521D"/>
    <w:rsid w:val="004F221E"/>
    <w:rsid w:val="004F3AF8"/>
    <w:rsid w:val="004F4A48"/>
    <w:rsid w:val="004F56DF"/>
    <w:rsid w:val="004F7B44"/>
    <w:rsid w:val="00500C9A"/>
    <w:rsid w:val="00500E12"/>
    <w:rsid w:val="00502F8E"/>
    <w:rsid w:val="0050402B"/>
    <w:rsid w:val="0050457A"/>
    <w:rsid w:val="00506985"/>
    <w:rsid w:val="00511DF9"/>
    <w:rsid w:val="0051766B"/>
    <w:rsid w:val="005179B8"/>
    <w:rsid w:val="005202FE"/>
    <w:rsid w:val="00522EF3"/>
    <w:rsid w:val="00530348"/>
    <w:rsid w:val="0053089E"/>
    <w:rsid w:val="00534BB5"/>
    <w:rsid w:val="00534ECB"/>
    <w:rsid w:val="00534FAF"/>
    <w:rsid w:val="005354DA"/>
    <w:rsid w:val="00536481"/>
    <w:rsid w:val="00536AA4"/>
    <w:rsid w:val="0053719D"/>
    <w:rsid w:val="0054032E"/>
    <w:rsid w:val="00541C5D"/>
    <w:rsid w:val="00541E2D"/>
    <w:rsid w:val="00543546"/>
    <w:rsid w:val="00544378"/>
    <w:rsid w:val="005465B0"/>
    <w:rsid w:val="00546FEF"/>
    <w:rsid w:val="00551FE2"/>
    <w:rsid w:val="005529D0"/>
    <w:rsid w:val="0055368D"/>
    <w:rsid w:val="005546D6"/>
    <w:rsid w:val="00554832"/>
    <w:rsid w:val="005571A3"/>
    <w:rsid w:val="00566788"/>
    <w:rsid w:val="005704BB"/>
    <w:rsid w:val="005707E5"/>
    <w:rsid w:val="00571A30"/>
    <w:rsid w:val="00573FEA"/>
    <w:rsid w:val="0057699C"/>
    <w:rsid w:val="0058029A"/>
    <w:rsid w:val="00584D3E"/>
    <w:rsid w:val="0058629E"/>
    <w:rsid w:val="0058667D"/>
    <w:rsid w:val="0059721A"/>
    <w:rsid w:val="00597ADC"/>
    <w:rsid w:val="005A295F"/>
    <w:rsid w:val="005A57BD"/>
    <w:rsid w:val="005A6859"/>
    <w:rsid w:val="005A7312"/>
    <w:rsid w:val="005A7D50"/>
    <w:rsid w:val="005B4A12"/>
    <w:rsid w:val="005C4173"/>
    <w:rsid w:val="005C462C"/>
    <w:rsid w:val="005C5D3F"/>
    <w:rsid w:val="005C7A6F"/>
    <w:rsid w:val="005D5A54"/>
    <w:rsid w:val="005E039A"/>
    <w:rsid w:val="005E64F0"/>
    <w:rsid w:val="005E6869"/>
    <w:rsid w:val="005E7DC7"/>
    <w:rsid w:val="005F216D"/>
    <w:rsid w:val="005F429F"/>
    <w:rsid w:val="005F499E"/>
    <w:rsid w:val="005F6197"/>
    <w:rsid w:val="005F7581"/>
    <w:rsid w:val="00600CBC"/>
    <w:rsid w:val="00604934"/>
    <w:rsid w:val="00606824"/>
    <w:rsid w:val="0061188C"/>
    <w:rsid w:val="00612DF5"/>
    <w:rsid w:val="00615986"/>
    <w:rsid w:val="00617659"/>
    <w:rsid w:val="0062081F"/>
    <w:rsid w:val="00622880"/>
    <w:rsid w:val="00623633"/>
    <w:rsid w:val="00626287"/>
    <w:rsid w:val="00626532"/>
    <w:rsid w:val="006321AA"/>
    <w:rsid w:val="00636C5B"/>
    <w:rsid w:val="00642BFA"/>
    <w:rsid w:val="00643D70"/>
    <w:rsid w:val="006458EE"/>
    <w:rsid w:val="00650CD8"/>
    <w:rsid w:val="0065168B"/>
    <w:rsid w:val="006547BB"/>
    <w:rsid w:val="00655686"/>
    <w:rsid w:val="006569F2"/>
    <w:rsid w:val="00664C82"/>
    <w:rsid w:val="0066506A"/>
    <w:rsid w:val="00667836"/>
    <w:rsid w:val="00670602"/>
    <w:rsid w:val="006735FA"/>
    <w:rsid w:val="0067565B"/>
    <w:rsid w:val="00677FC8"/>
    <w:rsid w:val="00683142"/>
    <w:rsid w:val="00683B8B"/>
    <w:rsid w:val="006844A8"/>
    <w:rsid w:val="00686A63"/>
    <w:rsid w:val="006904AB"/>
    <w:rsid w:val="0069591A"/>
    <w:rsid w:val="00696686"/>
    <w:rsid w:val="006A1F3C"/>
    <w:rsid w:val="006A62B1"/>
    <w:rsid w:val="006A62C7"/>
    <w:rsid w:val="006B0391"/>
    <w:rsid w:val="006B349F"/>
    <w:rsid w:val="006B7442"/>
    <w:rsid w:val="006C0257"/>
    <w:rsid w:val="006C1213"/>
    <w:rsid w:val="006C6045"/>
    <w:rsid w:val="006D030B"/>
    <w:rsid w:val="006D33D8"/>
    <w:rsid w:val="006D79C3"/>
    <w:rsid w:val="006E0650"/>
    <w:rsid w:val="006E0BD7"/>
    <w:rsid w:val="006E2AC2"/>
    <w:rsid w:val="006E310A"/>
    <w:rsid w:val="006E5C31"/>
    <w:rsid w:val="006E6ED1"/>
    <w:rsid w:val="006E6F49"/>
    <w:rsid w:val="006E70FB"/>
    <w:rsid w:val="006F0FEC"/>
    <w:rsid w:val="006F5D1D"/>
    <w:rsid w:val="006F606E"/>
    <w:rsid w:val="00703AFA"/>
    <w:rsid w:val="0070404E"/>
    <w:rsid w:val="00706883"/>
    <w:rsid w:val="00710FB2"/>
    <w:rsid w:val="00713168"/>
    <w:rsid w:val="00714FE2"/>
    <w:rsid w:val="00715333"/>
    <w:rsid w:val="00717004"/>
    <w:rsid w:val="00720ECA"/>
    <w:rsid w:val="007273EC"/>
    <w:rsid w:val="0072782F"/>
    <w:rsid w:val="007306F4"/>
    <w:rsid w:val="0073167A"/>
    <w:rsid w:val="007365D5"/>
    <w:rsid w:val="007370B3"/>
    <w:rsid w:val="00741B8C"/>
    <w:rsid w:val="007424BF"/>
    <w:rsid w:val="007454D8"/>
    <w:rsid w:val="0074737A"/>
    <w:rsid w:val="007473B2"/>
    <w:rsid w:val="00751AA5"/>
    <w:rsid w:val="00753124"/>
    <w:rsid w:val="00755096"/>
    <w:rsid w:val="00755FA6"/>
    <w:rsid w:val="007578A7"/>
    <w:rsid w:val="00757F10"/>
    <w:rsid w:val="00762CEF"/>
    <w:rsid w:val="0076615F"/>
    <w:rsid w:val="007675A2"/>
    <w:rsid w:val="00773674"/>
    <w:rsid w:val="00777C88"/>
    <w:rsid w:val="00777D8B"/>
    <w:rsid w:val="00786937"/>
    <w:rsid w:val="0079169D"/>
    <w:rsid w:val="007917B0"/>
    <w:rsid w:val="00792148"/>
    <w:rsid w:val="0079255D"/>
    <w:rsid w:val="00794756"/>
    <w:rsid w:val="0079662D"/>
    <w:rsid w:val="007A3036"/>
    <w:rsid w:val="007A6D92"/>
    <w:rsid w:val="007B1076"/>
    <w:rsid w:val="007B1543"/>
    <w:rsid w:val="007B59B4"/>
    <w:rsid w:val="007B5BFA"/>
    <w:rsid w:val="007C050A"/>
    <w:rsid w:val="007C47D6"/>
    <w:rsid w:val="007C5D06"/>
    <w:rsid w:val="007C62DA"/>
    <w:rsid w:val="007C6D68"/>
    <w:rsid w:val="007C703C"/>
    <w:rsid w:val="007C776C"/>
    <w:rsid w:val="007D1545"/>
    <w:rsid w:val="007D1801"/>
    <w:rsid w:val="007D2F39"/>
    <w:rsid w:val="007D3EFE"/>
    <w:rsid w:val="007D5AE6"/>
    <w:rsid w:val="007E4FF2"/>
    <w:rsid w:val="007E5F5E"/>
    <w:rsid w:val="007F1C7A"/>
    <w:rsid w:val="007F5AC6"/>
    <w:rsid w:val="007F7D20"/>
    <w:rsid w:val="008019EC"/>
    <w:rsid w:val="00801DA1"/>
    <w:rsid w:val="00802EE0"/>
    <w:rsid w:val="00804183"/>
    <w:rsid w:val="008079C7"/>
    <w:rsid w:val="0081091F"/>
    <w:rsid w:val="008143DE"/>
    <w:rsid w:val="00815B77"/>
    <w:rsid w:val="008169B8"/>
    <w:rsid w:val="00816A95"/>
    <w:rsid w:val="00827541"/>
    <w:rsid w:val="0083167E"/>
    <w:rsid w:val="008333C2"/>
    <w:rsid w:val="008357BF"/>
    <w:rsid w:val="0084104A"/>
    <w:rsid w:val="00842366"/>
    <w:rsid w:val="00846407"/>
    <w:rsid w:val="008503B0"/>
    <w:rsid w:val="00852DA2"/>
    <w:rsid w:val="00852E35"/>
    <w:rsid w:val="00852F57"/>
    <w:rsid w:val="0085468D"/>
    <w:rsid w:val="00857165"/>
    <w:rsid w:val="008604CE"/>
    <w:rsid w:val="008611AD"/>
    <w:rsid w:val="00861FB4"/>
    <w:rsid w:val="00863A37"/>
    <w:rsid w:val="008647BE"/>
    <w:rsid w:val="00866B66"/>
    <w:rsid w:val="00875008"/>
    <w:rsid w:val="00875186"/>
    <w:rsid w:val="00877DD2"/>
    <w:rsid w:val="008804AA"/>
    <w:rsid w:val="00882F25"/>
    <w:rsid w:val="00886316"/>
    <w:rsid w:val="00890402"/>
    <w:rsid w:val="0089126F"/>
    <w:rsid w:val="0089134C"/>
    <w:rsid w:val="00895B58"/>
    <w:rsid w:val="00897285"/>
    <w:rsid w:val="008976DD"/>
    <w:rsid w:val="008A0A2C"/>
    <w:rsid w:val="008A4231"/>
    <w:rsid w:val="008A58A7"/>
    <w:rsid w:val="008A5A2F"/>
    <w:rsid w:val="008B2366"/>
    <w:rsid w:val="008B2C32"/>
    <w:rsid w:val="008B4538"/>
    <w:rsid w:val="008B6821"/>
    <w:rsid w:val="008B7A81"/>
    <w:rsid w:val="008C1729"/>
    <w:rsid w:val="008C2B96"/>
    <w:rsid w:val="008C5854"/>
    <w:rsid w:val="008C5B9F"/>
    <w:rsid w:val="008C77C9"/>
    <w:rsid w:val="008D310D"/>
    <w:rsid w:val="008D403C"/>
    <w:rsid w:val="008D4A83"/>
    <w:rsid w:val="008D5032"/>
    <w:rsid w:val="008D5EF0"/>
    <w:rsid w:val="008D623E"/>
    <w:rsid w:val="008D7281"/>
    <w:rsid w:val="008E26C9"/>
    <w:rsid w:val="008E2719"/>
    <w:rsid w:val="008E41DF"/>
    <w:rsid w:val="008E4963"/>
    <w:rsid w:val="008E5C08"/>
    <w:rsid w:val="008E714D"/>
    <w:rsid w:val="008E7E38"/>
    <w:rsid w:val="008F2986"/>
    <w:rsid w:val="008F3B5D"/>
    <w:rsid w:val="008F5C4A"/>
    <w:rsid w:val="008F7680"/>
    <w:rsid w:val="00900B44"/>
    <w:rsid w:val="00904BE0"/>
    <w:rsid w:val="00905C08"/>
    <w:rsid w:val="009067D8"/>
    <w:rsid w:val="0091328B"/>
    <w:rsid w:val="009147B8"/>
    <w:rsid w:val="00915134"/>
    <w:rsid w:val="00915C41"/>
    <w:rsid w:val="0091654C"/>
    <w:rsid w:val="0092323E"/>
    <w:rsid w:val="00925551"/>
    <w:rsid w:val="009265F9"/>
    <w:rsid w:val="0093023C"/>
    <w:rsid w:val="009311E5"/>
    <w:rsid w:val="00934602"/>
    <w:rsid w:val="00935A7A"/>
    <w:rsid w:val="009403E7"/>
    <w:rsid w:val="00941C43"/>
    <w:rsid w:val="0094244B"/>
    <w:rsid w:val="00950E09"/>
    <w:rsid w:val="009510A8"/>
    <w:rsid w:val="00951A3B"/>
    <w:rsid w:val="009525E1"/>
    <w:rsid w:val="00953D2E"/>
    <w:rsid w:val="0095487E"/>
    <w:rsid w:val="00954C63"/>
    <w:rsid w:val="009559D7"/>
    <w:rsid w:val="00955D95"/>
    <w:rsid w:val="0095645F"/>
    <w:rsid w:val="009566E7"/>
    <w:rsid w:val="00960FBA"/>
    <w:rsid w:val="009668B4"/>
    <w:rsid w:val="009679BF"/>
    <w:rsid w:val="0097047A"/>
    <w:rsid w:val="009737A0"/>
    <w:rsid w:val="00980D98"/>
    <w:rsid w:val="00981B03"/>
    <w:rsid w:val="0098205C"/>
    <w:rsid w:val="00982401"/>
    <w:rsid w:val="00984D9E"/>
    <w:rsid w:val="00985CD4"/>
    <w:rsid w:val="00987132"/>
    <w:rsid w:val="009873D2"/>
    <w:rsid w:val="00987B81"/>
    <w:rsid w:val="00987E6C"/>
    <w:rsid w:val="00990370"/>
    <w:rsid w:val="0099092E"/>
    <w:rsid w:val="00990EA2"/>
    <w:rsid w:val="0099748B"/>
    <w:rsid w:val="009A2487"/>
    <w:rsid w:val="009C67D7"/>
    <w:rsid w:val="009D004F"/>
    <w:rsid w:val="009D1170"/>
    <w:rsid w:val="009D255C"/>
    <w:rsid w:val="009D2ACD"/>
    <w:rsid w:val="009D5F6A"/>
    <w:rsid w:val="009D6EFB"/>
    <w:rsid w:val="009D7143"/>
    <w:rsid w:val="009E1B4D"/>
    <w:rsid w:val="009E3175"/>
    <w:rsid w:val="009E44BD"/>
    <w:rsid w:val="009E68FB"/>
    <w:rsid w:val="00A0463C"/>
    <w:rsid w:val="00A06B40"/>
    <w:rsid w:val="00A06C93"/>
    <w:rsid w:val="00A076ED"/>
    <w:rsid w:val="00A108DE"/>
    <w:rsid w:val="00A145F6"/>
    <w:rsid w:val="00A24654"/>
    <w:rsid w:val="00A24DC2"/>
    <w:rsid w:val="00A250CD"/>
    <w:rsid w:val="00A30780"/>
    <w:rsid w:val="00A34F14"/>
    <w:rsid w:val="00A3535E"/>
    <w:rsid w:val="00A370D6"/>
    <w:rsid w:val="00A45431"/>
    <w:rsid w:val="00A47386"/>
    <w:rsid w:val="00A4754C"/>
    <w:rsid w:val="00A55A1F"/>
    <w:rsid w:val="00A67752"/>
    <w:rsid w:val="00A936BD"/>
    <w:rsid w:val="00A970E7"/>
    <w:rsid w:val="00A973AB"/>
    <w:rsid w:val="00A9798A"/>
    <w:rsid w:val="00AA01D1"/>
    <w:rsid w:val="00AA3C2B"/>
    <w:rsid w:val="00AA580E"/>
    <w:rsid w:val="00AA68C5"/>
    <w:rsid w:val="00AA6A82"/>
    <w:rsid w:val="00AB01AF"/>
    <w:rsid w:val="00AB26B1"/>
    <w:rsid w:val="00AB59B1"/>
    <w:rsid w:val="00AB611F"/>
    <w:rsid w:val="00AB697A"/>
    <w:rsid w:val="00AC1892"/>
    <w:rsid w:val="00AC4F1F"/>
    <w:rsid w:val="00AC73A0"/>
    <w:rsid w:val="00AD0FD6"/>
    <w:rsid w:val="00AD2DB9"/>
    <w:rsid w:val="00AE034A"/>
    <w:rsid w:val="00AE25B9"/>
    <w:rsid w:val="00AE48C0"/>
    <w:rsid w:val="00AE5454"/>
    <w:rsid w:val="00AE5BE6"/>
    <w:rsid w:val="00AF5E93"/>
    <w:rsid w:val="00B004F6"/>
    <w:rsid w:val="00B02BB3"/>
    <w:rsid w:val="00B030A3"/>
    <w:rsid w:val="00B0442F"/>
    <w:rsid w:val="00B04455"/>
    <w:rsid w:val="00B0498F"/>
    <w:rsid w:val="00B05876"/>
    <w:rsid w:val="00B16A0B"/>
    <w:rsid w:val="00B23B95"/>
    <w:rsid w:val="00B24FC7"/>
    <w:rsid w:val="00B2761A"/>
    <w:rsid w:val="00B305B6"/>
    <w:rsid w:val="00B30710"/>
    <w:rsid w:val="00B32DB0"/>
    <w:rsid w:val="00B33DE6"/>
    <w:rsid w:val="00B374DD"/>
    <w:rsid w:val="00B37608"/>
    <w:rsid w:val="00B4099E"/>
    <w:rsid w:val="00B40B8B"/>
    <w:rsid w:val="00B4403B"/>
    <w:rsid w:val="00B45611"/>
    <w:rsid w:val="00B45ECA"/>
    <w:rsid w:val="00B46EC1"/>
    <w:rsid w:val="00B47112"/>
    <w:rsid w:val="00B561FA"/>
    <w:rsid w:val="00B57EF3"/>
    <w:rsid w:val="00B609F5"/>
    <w:rsid w:val="00B62009"/>
    <w:rsid w:val="00B6243A"/>
    <w:rsid w:val="00B645B2"/>
    <w:rsid w:val="00B64606"/>
    <w:rsid w:val="00B65947"/>
    <w:rsid w:val="00B66207"/>
    <w:rsid w:val="00B70F6C"/>
    <w:rsid w:val="00B7330F"/>
    <w:rsid w:val="00B74150"/>
    <w:rsid w:val="00B77AA4"/>
    <w:rsid w:val="00B8639A"/>
    <w:rsid w:val="00B90402"/>
    <w:rsid w:val="00B91F72"/>
    <w:rsid w:val="00BA05FB"/>
    <w:rsid w:val="00BA1C83"/>
    <w:rsid w:val="00BA3A34"/>
    <w:rsid w:val="00BA3CDC"/>
    <w:rsid w:val="00BA6243"/>
    <w:rsid w:val="00BA7ABD"/>
    <w:rsid w:val="00BB6E63"/>
    <w:rsid w:val="00BB76D1"/>
    <w:rsid w:val="00BC1045"/>
    <w:rsid w:val="00BC2834"/>
    <w:rsid w:val="00BC3C67"/>
    <w:rsid w:val="00BC3FEE"/>
    <w:rsid w:val="00BD57CA"/>
    <w:rsid w:val="00BD6EEC"/>
    <w:rsid w:val="00BD738F"/>
    <w:rsid w:val="00BE240F"/>
    <w:rsid w:val="00BE2894"/>
    <w:rsid w:val="00BE5195"/>
    <w:rsid w:val="00BF0AB4"/>
    <w:rsid w:val="00BF1607"/>
    <w:rsid w:val="00BF1C27"/>
    <w:rsid w:val="00BF3075"/>
    <w:rsid w:val="00BF3D4B"/>
    <w:rsid w:val="00BF452E"/>
    <w:rsid w:val="00BF78F3"/>
    <w:rsid w:val="00C06999"/>
    <w:rsid w:val="00C113A5"/>
    <w:rsid w:val="00C11911"/>
    <w:rsid w:val="00C11B0F"/>
    <w:rsid w:val="00C142BA"/>
    <w:rsid w:val="00C16244"/>
    <w:rsid w:val="00C17166"/>
    <w:rsid w:val="00C20FE9"/>
    <w:rsid w:val="00C24DFD"/>
    <w:rsid w:val="00C255AA"/>
    <w:rsid w:val="00C2580E"/>
    <w:rsid w:val="00C31777"/>
    <w:rsid w:val="00C33A8A"/>
    <w:rsid w:val="00C33D3E"/>
    <w:rsid w:val="00C378E1"/>
    <w:rsid w:val="00C448AF"/>
    <w:rsid w:val="00C453DC"/>
    <w:rsid w:val="00C51740"/>
    <w:rsid w:val="00C53B12"/>
    <w:rsid w:val="00C55136"/>
    <w:rsid w:val="00C6094C"/>
    <w:rsid w:val="00C61603"/>
    <w:rsid w:val="00C6205E"/>
    <w:rsid w:val="00C62B54"/>
    <w:rsid w:val="00C63D2D"/>
    <w:rsid w:val="00C66D36"/>
    <w:rsid w:val="00C66E9F"/>
    <w:rsid w:val="00C7413D"/>
    <w:rsid w:val="00C75884"/>
    <w:rsid w:val="00C84235"/>
    <w:rsid w:val="00C845F7"/>
    <w:rsid w:val="00C860A7"/>
    <w:rsid w:val="00C92EB1"/>
    <w:rsid w:val="00C94A91"/>
    <w:rsid w:val="00C96D3B"/>
    <w:rsid w:val="00C97DC7"/>
    <w:rsid w:val="00CA0DCD"/>
    <w:rsid w:val="00CA0E8D"/>
    <w:rsid w:val="00CA2617"/>
    <w:rsid w:val="00CA4503"/>
    <w:rsid w:val="00CA5CFB"/>
    <w:rsid w:val="00CB47BA"/>
    <w:rsid w:val="00CC602A"/>
    <w:rsid w:val="00CD0DAB"/>
    <w:rsid w:val="00CD111C"/>
    <w:rsid w:val="00CD307E"/>
    <w:rsid w:val="00CD553C"/>
    <w:rsid w:val="00CD6419"/>
    <w:rsid w:val="00CE0B77"/>
    <w:rsid w:val="00CE6135"/>
    <w:rsid w:val="00CE637E"/>
    <w:rsid w:val="00CF12A3"/>
    <w:rsid w:val="00CF5D51"/>
    <w:rsid w:val="00CF7101"/>
    <w:rsid w:val="00CF71E4"/>
    <w:rsid w:val="00D01735"/>
    <w:rsid w:val="00D07530"/>
    <w:rsid w:val="00D10726"/>
    <w:rsid w:val="00D1437B"/>
    <w:rsid w:val="00D14551"/>
    <w:rsid w:val="00D14829"/>
    <w:rsid w:val="00D16736"/>
    <w:rsid w:val="00D1699E"/>
    <w:rsid w:val="00D20ADE"/>
    <w:rsid w:val="00D20C9B"/>
    <w:rsid w:val="00D23C59"/>
    <w:rsid w:val="00D303B0"/>
    <w:rsid w:val="00D30AEA"/>
    <w:rsid w:val="00D31F45"/>
    <w:rsid w:val="00D32637"/>
    <w:rsid w:val="00D42221"/>
    <w:rsid w:val="00D42551"/>
    <w:rsid w:val="00D43CF4"/>
    <w:rsid w:val="00D4597A"/>
    <w:rsid w:val="00D4656A"/>
    <w:rsid w:val="00D46961"/>
    <w:rsid w:val="00D53120"/>
    <w:rsid w:val="00D56916"/>
    <w:rsid w:val="00D6262B"/>
    <w:rsid w:val="00D66E4E"/>
    <w:rsid w:val="00D70CF5"/>
    <w:rsid w:val="00D7319B"/>
    <w:rsid w:val="00D73E86"/>
    <w:rsid w:val="00D76FD2"/>
    <w:rsid w:val="00D77BFC"/>
    <w:rsid w:val="00D81415"/>
    <w:rsid w:val="00D81512"/>
    <w:rsid w:val="00D8494D"/>
    <w:rsid w:val="00D97D96"/>
    <w:rsid w:val="00DA1554"/>
    <w:rsid w:val="00DA33B0"/>
    <w:rsid w:val="00DA5F8B"/>
    <w:rsid w:val="00DB3A15"/>
    <w:rsid w:val="00DB7DE0"/>
    <w:rsid w:val="00DC2581"/>
    <w:rsid w:val="00DC3688"/>
    <w:rsid w:val="00DD2B2E"/>
    <w:rsid w:val="00DE04D9"/>
    <w:rsid w:val="00DE18C2"/>
    <w:rsid w:val="00DE2BDB"/>
    <w:rsid w:val="00DE457A"/>
    <w:rsid w:val="00DE628E"/>
    <w:rsid w:val="00DF43C9"/>
    <w:rsid w:val="00DF7A33"/>
    <w:rsid w:val="00E039DF"/>
    <w:rsid w:val="00E05E4E"/>
    <w:rsid w:val="00E062B9"/>
    <w:rsid w:val="00E076E6"/>
    <w:rsid w:val="00E13FD6"/>
    <w:rsid w:val="00E2118A"/>
    <w:rsid w:val="00E2403E"/>
    <w:rsid w:val="00E331A0"/>
    <w:rsid w:val="00E34E44"/>
    <w:rsid w:val="00E36FF2"/>
    <w:rsid w:val="00E40643"/>
    <w:rsid w:val="00E40821"/>
    <w:rsid w:val="00E40CD5"/>
    <w:rsid w:val="00E40EF1"/>
    <w:rsid w:val="00E532C0"/>
    <w:rsid w:val="00E54C20"/>
    <w:rsid w:val="00E5533B"/>
    <w:rsid w:val="00E55A38"/>
    <w:rsid w:val="00E61A96"/>
    <w:rsid w:val="00E622E4"/>
    <w:rsid w:val="00E65458"/>
    <w:rsid w:val="00E66EC3"/>
    <w:rsid w:val="00E67F4A"/>
    <w:rsid w:val="00E7417E"/>
    <w:rsid w:val="00E77231"/>
    <w:rsid w:val="00E821D2"/>
    <w:rsid w:val="00E84A76"/>
    <w:rsid w:val="00E91C46"/>
    <w:rsid w:val="00E9399F"/>
    <w:rsid w:val="00E943FE"/>
    <w:rsid w:val="00EA0E4A"/>
    <w:rsid w:val="00EA216B"/>
    <w:rsid w:val="00EA51D8"/>
    <w:rsid w:val="00EA7369"/>
    <w:rsid w:val="00EB16AF"/>
    <w:rsid w:val="00EB1AE1"/>
    <w:rsid w:val="00EB2237"/>
    <w:rsid w:val="00EC0275"/>
    <w:rsid w:val="00EC04A0"/>
    <w:rsid w:val="00EC1AA1"/>
    <w:rsid w:val="00EC2B67"/>
    <w:rsid w:val="00EC5064"/>
    <w:rsid w:val="00EC548F"/>
    <w:rsid w:val="00ED2E36"/>
    <w:rsid w:val="00ED39B0"/>
    <w:rsid w:val="00ED599F"/>
    <w:rsid w:val="00EE6B18"/>
    <w:rsid w:val="00EF0853"/>
    <w:rsid w:val="00EF1BAA"/>
    <w:rsid w:val="00F05276"/>
    <w:rsid w:val="00F07544"/>
    <w:rsid w:val="00F10817"/>
    <w:rsid w:val="00F14C96"/>
    <w:rsid w:val="00F15115"/>
    <w:rsid w:val="00F16D0E"/>
    <w:rsid w:val="00F25656"/>
    <w:rsid w:val="00F25662"/>
    <w:rsid w:val="00F26ADD"/>
    <w:rsid w:val="00F359EB"/>
    <w:rsid w:val="00F402C7"/>
    <w:rsid w:val="00F4662D"/>
    <w:rsid w:val="00F54C4C"/>
    <w:rsid w:val="00F623A1"/>
    <w:rsid w:val="00F64471"/>
    <w:rsid w:val="00F675D7"/>
    <w:rsid w:val="00F6789F"/>
    <w:rsid w:val="00F67BE8"/>
    <w:rsid w:val="00F7257D"/>
    <w:rsid w:val="00F72AB1"/>
    <w:rsid w:val="00F73D35"/>
    <w:rsid w:val="00F85C3B"/>
    <w:rsid w:val="00F87A11"/>
    <w:rsid w:val="00F87A66"/>
    <w:rsid w:val="00F87F86"/>
    <w:rsid w:val="00F904FA"/>
    <w:rsid w:val="00F90938"/>
    <w:rsid w:val="00F9364F"/>
    <w:rsid w:val="00F938D2"/>
    <w:rsid w:val="00F951A8"/>
    <w:rsid w:val="00F95B6E"/>
    <w:rsid w:val="00FA16BD"/>
    <w:rsid w:val="00FA2DEB"/>
    <w:rsid w:val="00FA4980"/>
    <w:rsid w:val="00FB3175"/>
    <w:rsid w:val="00FB58AC"/>
    <w:rsid w:val="00FB5ADB"/>
    <w:rsid w:val="00FB5C44"/>
    <w:rsid w:val="00FC2AC2"/>
    <w:rsid w:val="00FC5F56"/>
    <w:rsid w:val="00FC7045"/>
    <w:rsid w:val="00FD482D"/>
    <w:rsid w:val="00FE41B7"/>
    <w:rsid w:val="00FE4D42"/>
    <w:rsid w:val="00FE75CA"/>
    <w:rsid w:val="00FF13DE"/>
    <w:rsid w:val="00FF2F3D"/>
    <w:rsid w:val="00FF7980"/>
    <w:rsid w:val="02436B78"/>
    <w:rsid w:val="025A0A9E"/>
    <w:rsid w:val="02D038C3"/>
    <w:rsid w:val="030B3D50"/>
    <w:rsid w:val="030D0562"/>
    <w:rsid w:val="03B55C27"/>
    <w:rsid w:val="040B175C"/>
    <w:rsid w:val="04207E21"/>
    <w:rsid w:val="04214D74"/>
    <w:rsid w:val="06DB7D2C"/>
    <w:rsid w:val="06EE5866"/>
    <w:rsid w:val="07127C8D"/>
    <w:rsid w:val="07567D43"/>
    <w:rsid w:val="077564AD"/>
    <w:rsid w:val="082F0B20"/>
    <w:rsid w:val="08781AD0"/>
    <w:rsid w:val="08D240C2"/>
    <w:rsid w:val="093D7DE9"/>
    <w:rsid w:val="094353B9"/>
    <w:rsid w:val="09AB4393"/>
    <w:rsid w:val="09DA1639"/>
    <w:rsid w:val="0A0F0E2C"/>
    <w:rsid w:val="0B3474D6"/>
    <w:rsid w:val="0C3D67FB"/>
    <w:rsid w:val="0C441E40"/>
    <w:rsid w:val="0C9910FA"/>
    <w:rsid w:val="0E0C597E"/>
    <w:rsid w:val="0E4E53E2"/>
    <w:rsid w:val="0ECB4993"/>
    <w:rsid w:val="0EDA1A68"/>
    <w:rsid w:val="0F1C1F62"/>
    <w:rsid w:val="100D2BE2"/>
    <w:rsid w:val="10D473BD"/>
    <w:rsid w:val="11DC229F"/>
    <w:rsid w:val="12F64B6E"/>
    <w:rsid w:val="132C295E"/>
    <w:rsid w:val="139112E5"/>
    <w:rsid w:val="13A441BB"/>
    <w:rsid w:val="13B041A1"/>
    <w:rsid w:val="14B06F9F"/>
    <w:rsid w:val="14E02A99"/>
    <w:rsid w:val="152B439C"/>
    <w:rsid w:val="15650973"/>
    <w:rsid w:val="15AC7C84"/>
    <w:rsid w:val="15D075D8"/>
    <w:rsid w:val="16540DB7"/>
    <w:rsid w:val="16951C26"/>
    <w:rsid w:val="16A61ED1"/>
    <w:rsid w:val="16F33848"/>
    <w:rsid w:val="173C2830"/>
    <w:rsid w:val="1826511F"/>
    <w:rsid w:val="182F1ACB"/>
    <w:rsid w:val="190A4BC4"/>
    <w:rsid w:val="1A57013E"/>
    <w:rsid w:val="1AA200AA"/>
    <w:rsid w:val="1AE75882"/>
    <w:rsid w:val="1B3648D9"/>
    <w:rsid w:val="1B3C54E0"/>
    <w:rsid w:val="1BE63CB6"/>
    <w:rsid w:val="1C225C85"/>
    <w:rsid w:val="1C3152A3"/>
    <w:rsid w:val="1CBE3510"/>
    <w:rsid w:val="1CEA2DF1"/>
    <w:rsid w:val="1CFA094B"/>
    <w:rsid w:val="1D1C7189"/>
    <w:rsid w:val="1D720291"/>
    <w:rsid w:val="1DDF4451"/>
    <w:rsid w:val="1E1A2531"/>
    <w:rsid w:val="1E980464"/>
    <w:rsid w:val="1E9C324F"/>
    <w:rsid w:val="1ED51877"/>
    <w:rsid w:val="1F8452B0"/>
    <w:rsid w:val="1F9815C3"/>
    <w:rsid w:val="207349C2"/>
    <w:rsid w:val="20AE6A88"/>
    <w:rsid w:val="20FF1092"/>
    <w:rsid w:val="2126676B"/>
    <w:rsid w:val="21902632"/>
    <w:rsid w:val="225D3A8B"/>
    <w:rsid w:val="22826907"/>
    <w:rsid w:val="23266DC9"/>
    <w:rsid w:val="232F6D34"/>
    <w:rsid w:val="23897C80"/>
    <w:rsid w:val="23CD3FFD"/>
    <w:rsid w:val="24515D4E"/>
    <w:rsid w:val="253024AD"/>
    <w:rsid w:val="26E90C41"/>
    <w:rsid w:val="26EA0CE9"/>
    <w:rsid w:val="26FA143C"/>
    <w:rsid w:val="27897907"/>
    <w:rsid w:val="27CE64E3"/>
    <w:rsid w:val="292D3A50"/>
    <w:rsid w:val="29417424"/>
    <w:rsid w:val="2983579F"/>
    <w:rsid w:val="29BD3B7F"/>
    <w:rsid w:val="29D45C1D"/>
    <w:rsid w:val="29F83B31"/>
    <w:rsid w:val="2AC34CA7"/>
    <w:rsid w:val="2BBA1D9B"/>
    <w:rsid w:val="2C2E0E59"/>
    <w:rsid w:val="2C4F3C4F"/>
    <w:rsid w:val="2C7C270D"/>
    <w:rsid w:val="2D360531"/>
    <w:rsid w:val="2D5664DE"/>
    <w:rsid w:val="2D8153FB"/>
    <w:rsid w:val="2DA21F75"/>
    <w:rsid w:val="30261266"/>
    <w:rsid w:val="31044A7B"/>
    <w:rsid w:val="31C769E0"/>
    <w:rsid w:val="320D4E3E"/>
    <w:rsid w:val="32133C6C"/>
    <w:rsid w:val="324E1E79"/>
    <w:rsid w:val="32665912"/>
    <w:rsid w:val="331E6AA2"/>
    <w:rsid w:val="332A23F9"/>
    <w:rsid w:val="33846E9B"/>
    <w:rsid w:val="338A1145"/>
    <w:rsid w:val="33A33413"/>
    <w:rsid w:val="345C4873"/>
    <w:rsid w:val="34CB2075"/>
    <w:rsid w:val="34D35B06"/>
    <w:rsid w:val="355E47C3"/>
    <w:rsid w:val="357E4F73"/>
    <w:rsid w:val="35973B37"/>
    <w:rsid w:val="35C74E92"/>
    <w:rsid w:val="35F3768A"/>
    <w:rsid w:val="360D36C6"/>
    <w:rsid w:val="366E71CE"/>
    <w:rsid w:val="36C13010"/>
    <w:rsid w:val="371310A5"/>
    <w:rsid w:val="372B160B"/>
    <w:rsid w:val="37C60B13"/>
    <w:rsid w:val="382D2D19"/>
    <w:rsid w:val="386C7AF7"/>
    <w:rsid w:val="38D6497E"/>
    <w:rsid w:val="39221DE8"/>
    <w:rsid w:val="399B691E"/>
    <w:rsid w:val="3A413EBA"/>
    <w:rsid w:val="3B552921"/>
    <w:rsid w:val="3CC75C9E"/>
    <w:rsid w:val="3D9C2C0D"/>
    <w:rsid w:val="3E641E5A"/>
    <w:rsid w:val="3F1A57E7"/>
    <w:rsid w:val="3F253F62"/>
    <w:rsid w:val="4027710A"/>
    <w:rsid w:val="404A5E4B"/>
    <w:rsid w:val="40C94D56"/>
    <w:rsid w:val="40DB6F25"/>
    <w:rsid w:val="40F0234E"/>
    <w:rsid w:val="437B4444"/>
    <w:rsid w:val="43A87063"/>
    <w:rsid w:val="44320EDB"/>
    <w:rsid w:val="44476519"/>
    <w:rsid w:val="44C331A7"/>
    <w:rsid w:val="471A0FD6"/>
    <w:rsid w:val="47351B54"/>
    <w:rsid w:val="475A3A64"/>
    <w:rsid w:val="477701A6"/>
    <w:rsid w:val="47A95283"/>
    <w:rsid w:val="48150F23"/>
    <w:rsid w:val="484E6442"/>
    <w:rsid w:val="4A0473BB"/>
    <w:rsid w:val="4A5C21DB"/>
    <w:rsid w:val="4ACD2216"/>
    <w:rsid w:val="4B0E5C8B"/>
    <w:rsid w:val="4B366379"/>
    <w:rsid w:val="4B3F4DF7"/>
    <w:rsid w:val="4BBD036D"/>
    <w:rsid w:val="4BC40A82"/>
    <w:rsid w:val="4BFC413F"/>
    <w:rsid w:val="4C934FBC"/>
    <w:rsid w:val="4CD34A0F"/>
    <w:rsid w:val="4CEB3DD8"/>
    <w:rsid w:val="4E024C4C"/>
    <w:rsid w:val="4E0719BA"/>
    <w:rsid w:val="4E6955FA"/>
    <w:rsid w:val="510E51B0"/>
    <w:rsid w:val="516C71B2"/>
    <w:rsid w:val="519311FF"/>
    <w:rsid w:val="51B9044B"/>
    <w:rsid w:val="51EA23B1"/>
    <w:rsid w:val="522C17CB"/>
    <w:rsid w:val="52365E73"/>
    <w:rsid w:val="538C5F06"/>
    <w:rsid w:val="53AD122E"/>
    <w:rsid w:val="53CE651E"/>
    <w:rsid w:val="549C7BDF"/>
    <w:rsid w:val="54D00350"/>
    <w:rsid w:val="553F2F5A"/>
    <w:rsid w:val="560F0CF8"/>
    <w:rsid w:val="562C27F5"/>
    <w:rsid w:val="569A0A51"/>
    <w:rsid w:val="570B7033"/>
    <w:rsid w:val="576118D2"/>
    <w:rsid w:val="57DA51E1"/>
    <w:rsid w:val="57FF4AA7"/>
    <w:rsid w:val="58113E89"/>
    <w:rsid w:val="58C07654"/>
    <w:rsid w:val="59A4365B"/>
    <w:rsid w:val="59F22C2D"/>
    <w:rsid w:val="5A1530F9"/>
    <w:rsid w:val="5A41227D"/>
    <w:rsid w:val="5AB1392F"/>
    <w:rsid w:val="5BDD3749"/>
    <w:rsid w:val="5C171808"/>
    <w:rsid w:val="5C1D2FEA"/>
    <w:rsid w:val="5C404D7B"/>
    <w:rsid w:val="5CA177BE"/>
    <w:rsid w:val="5CC51D6B"/>
    <w:rsid w:val="5D465377"/>
    <w:rsid w:val="5DC86EA5"/>
    <w:rsid w:val="5DE9171D"/>
    <w:rsid w:val="5E5848F7"/>
    <w:rsid w:val="5E6627D3"/>
    <w:rsid w:val="5FC163DF"/>
    <w:rsid w:val="60DF4F9F"/>
    <w:rsid w:val="61A661BF"/>
    <w:rsid w:val="62561697"/>
    <w:rsid w:val="63A763F3"/>
    <w:rsid w:val="63E008F0"/>
    <w:rsid w:val="66245F4B"/>
    <w:rsid w:val="66511775"/>
    <w:rsid w:val="666242D3"/>
    <w:rsid w:val="66BC5D2A"/>
    <w:rsid w:val="66C516D8"/>
    <w:rsid w:val="66ED4851"/>
    <w:rsid w:val="67693477"/>
    <w:rsid w:val="676C6322"/>
    <w:rsid w:val="68402A24"/>
    <w:rsid w:val="688E224A"/>
    <w:rsid w:val="68E72455"/>
    <w:rsid w:val="68EF6085"/>
    <w:rsid w:val="699C56D5"/>
    <w:rsid w:val="6AA43391"/>
    <w:rsid w:val="6AB5277A"/>
    <w:rsid w:val="6B6F1C62"/>
    <w:rsid w:val="6B8D5F29"/>
    <w:rsid w:val="6BE35C47"/>
    <w:rsid w:val="6C002E0D"/>
    <w:rsid w:val="6C0D734A"/>
    <w:rsid w:val="6CBF3FC7"/>
    <w:rsid w:val="6CE72943"/>
    <w:rsid w:val="6CFD5F59"/>
    <w:rsid w:val="6D5819BC"/>
    <w:rsid w:val="6D68274D"/>
    <w:rsid w:val="6DD27E77"/>
    <w:rsid w:val="6EE52698"/>
    <w:rsid w:val="6F321779"/>
    <w:rsid w:val="6F586239"/>
    <w:rsid w:val="6FC3794B"/>
    <w:rsid w:val="70624E09"/>
    <w:rsid w:val="70B328CC"/>
    <w:rsid w:val="70EF6FA0"/>
    <w:rsid w:val="71C0555C"/>
    <w:rsid w:val="71C2745D"/>
    <w:rsid w:val="71C81CCD"/>
    <w:rsid w:val="73554A9F"/>
    <w:rsid w:val="737D0A24"/>
    <w:rsid w:val="74152531"/>
    <w:rsid w:val="75911A5A"/>
    <w:rsid w:val="76532169"/>
    <w:rsid w:val="76546D70"/>
    <w:rsid w:val="77BB5FEB"/>
    <w:rsid w:val="786E345A"/>
    <w:rsid w:val="78760865"/>
    <w:rsid w:val="78B751DC"/>
    <w:rsid w:val="7A056211"/>
    <w:rsid w:val="7A483F0B"/>
    <w:rsid w:val="7A5017DB"/>
    <w:rsid w:val="7AC6093C"/>
    <w:rsid w:val="7B5D297B"/>
    <w:rsid w:val="7B7E15D6"/>
    <w:rsid w:val="7BE40D44"/>
    <w:rsid w:val="7D0757FB"/>
    <w:rsid w:val="7D52361A"/>
    <w:rsid w:val="7EAD2949"/>
    <w:rsid w:val="7F72770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link w:val="35"/>
    <w:autoRedefine/>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3">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200" w:leftChars="200"/>
    </w:pPr>
  </w:style>
  <w:style w:type="paragraph" w:styleId="5">
    <w:name w:val="annotation text"/>
    <w:basedOn w:val="1"/>
    <w:link w:val="27"/>
    <w:autoRedefine/>
    <w:qFormat/>
    <w:uiPriority w:val="0"/>
    <w:pPr>
      <w:jc w:val="left"/>
    </w:pPr>
    <w:rPr>
      <w:rFonts w:asciiTheme="minorHAnsi" w:hAnsiTheme="minorHAnsi" w:eastAsiaTheme="minorEastAsia" w:cstheme="minorBidi"/>
      <w:szCs w:val="24"/>
    </w:rPr>
  </w:style>
  <w:style w:type="paragraph" w:styleId="6">
    <w:name w:val="Body Text 3"/>
    <w:basedOn w:val="1"/>
    <w:next w:val="7"/>
    <w:autoRedefine/>
    <w:unhideWhenUsed/>
    <w:qFormat/>
    <w:uiPriority w:val="99"/>
    <w:rPr>
      <w:sz w:val="16"/>
      <w:szCs w:val="16"/>
    </w:rPr>
  </w:style>
  <w:style w:type="paragraph" w:styleId="7">
    <w:name w:val="Body Text"/>
    <w:basedOn w:val="1"/>
    <w:next w:val="8"/>
    <w:autoRedefine/>
    <w:qFormat/>
    <w:uiPriority w:val="0"/>
    <w:pPr>
      <w:spacing w:after="120"/>
    </w:pPr>
  </w:style>
  <w:style w:type="paragraph" w:styleId="8">
    <w:name w:val="Title"/>
    <w:basedOn w:val="1"/>
    <w:autoRedefine/>
    <w:qFormat/>
    <w:uiPriority w:val="99"/>
    <w:pPr>
      <w:jc w:val="center"/>
      <w:outlineLvl w:val="0"/>
    </w:pPr>
    <w:rPr>
      <w:rFonts w:ascii="Arial" w:hAnsi="Arial"/>
      <w:b/>
    </w:rPr>
  </w:style>
  <w:style w:type="paragraph" w:styleId="9">
    <w:name w:val="Date"/>
    <w:basedOn w:val="1"/>
    <w:next w:val="1"/>
    <w:link w:val="31"/>
    <w:autoRedefine/>
    <w:semiHidden/>
    <w:unhideWhenUsed/>
    <w:qFormat/>
    <w:uiPriority w:val="99"/>
    <w:pPr>
      <w:ind w:left="100" w:leftChars="2500"/>
    </w:pPr>
  </w:style>
  <w:style w:type="paragraph" w:styleId="10">
    <w:name w:val="Balloon Text"/>
    <w:basedOn w:val="1"/>
    <w:link w:val="26"/>
    <w:autoRedefine/>
    <w:semiHidden/>
    <w:unhideWhenUsed/>
    <w:qFormat/>
    <w:uiPriority w:val="99"/>
    <w:rPr>
      <w:sz w:val="18"/>
      <w:szCs w:val="18"/>
    </w:rPr>
  </w:style>
  <w:style w:type="paragraph" w:styleId="11">
    <w:name w:val="footer"/>
    <w:basedOn w:val="1"/>
    <w:link w:val="2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next w:val="14"/>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正文-公1"/>
    <w:basedOn w:val="15"/>
    <w:next w:val="13"/>
    <w:autoRedefine/>
    <w:qFormat/>
    <w:uiPriority w:val="0"/>
    <w:pPr>
      <w:widowControl w:val="0"/>
      <w:ind w:firstLine="200" w:firstLineChars="200"/>
    </w:pPr>
    <w:rPr>
      <w:rFonts w:eastAsia="楷体_GB2312" w:cs="Times New Roman"/>
      <w:color w:val="000000"/>
      <w:kern w:val="2"/>
    </w:rPr>
  </w:style>
  <w:style w:type="paragraph" w:customStyle="1" w:styleId="15">
    <w:name w:val="正文1"/>
    <w:next w:val="1"/>
    <w:autoRedefine/>
    <w:qFormat/>
    <w:uiPriority w:val="0"/>
    <w:pPr>
      <w:jc w:val="both"/>
    </w:pPr>
    <w:rPr>
      <w:rFonts w:ascii="Calibri" w:hAnsi="Calibri" w:eastAsia="宋体" w:cs="黑体"/>
      <w:sz w:val="21"/>
      <w:szCs w:val="22"/>
      <w:lang w:val="en-US" w:eastAsia="zh-CN" w:bidi="ar-SA"/>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page number"/>
    <w:basedOn w:val="18"/>
    <w:autoRedefine/>
    <w:qFormat/>
    <w:uiPriority w:val="0"/>
  </w:style>
  <w:style w:type="character" w:styleId="21">
    <w:name w:val="Hyperlink"/>
    <w:basedOn w:val="18"/>
    <w:autoRedefine/>
    <w:unhideWhenUsed/>
    <w:qFormat/>
    <w:uiPriority w:val="99"/>
    <w:rPr>
      <w:color w:val="0000FF" w:themeColor="hyperlink"/>
      <w:u w:val="single"/>
      <w14:textFill>
        <w14:solidFill>
          <w14:schemeClr w14:val="hlink"/>
        </w14:solidFill>
      </w14:textFill>
    </w:rPr>
  </w:style>
  <w:style w:type="character" w:customStyle="1" w:styleId="22">
    <w:name w:val="页脚 Char"/>
    <w:basedOn w:val="18"/>
    <w:link w:val="11"/>
    <w:autoRedefine/>
    <w:qFormat/>
    <w:uiPriority w:val="99"/>
    <w:rPr>
      <w:sz w:val="18"/>
      <w:szCs w:val="18"/>
    </w:rPr>
  </w:style>
  <w:style w:type="character" w:customStyle="1" w:styleId="23">
    <w:name w:val="页脚 Char1"/>
    <w:basedOn w:val="18"/>
    <w:autoRedefine/>
    <w:semiHidden/>
    <w:qFormat/>
    <w:uiPriority w:val="99"/>
    <w:rPr>
      <w:rFonts w:ascii="Calibri" w:hAnsi="Calibri" w:eastAsia="宋体" w:cs="Times New Roman"/>
      <w:sz w:val="18"/>
      <w:szCs w:val="18"/>
    </w:rPr>
  </w:style>
  <w:style w:type="paragraph" w:customStyle="1" w:styleId="2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页眉 Char"/>
    <w:basedOn w:val="18"/>
    <w:link w:val="12"/>
    <w:autoRedefine/>
    <w:qFormat/>
    <w:uiPriority w:val="0"/>
    <w:rPr>
      <w:rFonts w:ascii="Calibri" w:hAnsi="Calibri" w:eastAsia="宋体" w:cs="Times New Roman"/>
      <w:sz w:val="18"/>
      <w:szCs w:val="18"/>
    </w:rPr>
  </w:style>
  <w:style w:type="character" w:customStyle="1" w:styleId="26">
    <w:name w:val="批注框文本 Char"/>
    <w:basedOn w:val="18"/>
    <w:link w:val="10"/>
    <w:autoRedefine/>
    <w:semiHidden/>
    <w:qFormat/>
    <w:uiPriority w:val="99"/>
    <w:rPr>
      <w:rFonts w:ascii="Calibri" w:hAnsi="Calibri" w:eastAsia="宋体" w:cs="Times New Roman"/>
      <w:sz w:val="18"/>
      <w:szCs w:val="18"/>
    </w:rPr>
  </w:style>
  <w:style w:type="character" w:customStyle="1" w:styleId="27">
    <w:name w:val="批注文字 Char"/>
    <w:basedOn w:val="18"/>
    <w:link w:val="5"/>
    <w:autoRedefine/>
    <w:qFormat/>
    <w:uiPriority w:val="0"/>
    <w:rPr>
      <w:szCs w:val="24"/>
    </w:rPr>
  </w:style>
  <w:style w:type="paragraph" w:customStyle="1" w:styleId="28">
    <w:name w:val="无间隔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9">
    <w:name w:val="List Paragraph"/>
    <w:basedOn w:val="1"/>
    <w:autoRedefine/>
    <w:unhideWhenUsed/>
    <w:qFormat/>
    <w:uiPriority w:val="99"/>
    <w:pPr>
      <w:ind w:firstLine="420" w:firstLineChars="200"/>
    </w:pPr>
    <w:rPr>
      <w:rFonts w:asciiTheme="minorHAnsi" w:hAnsiTheme="minorHAnsi" w:eastAsiaTheme="minorEastAsia" w:cstheme="minorBidi"/>
      <w:szCs w:val="24"/>
    </w:rPr>
  </w:style>
  <w:style w:type="paragraph" w:customStyle="1" w:styleId="30">
    <w:name w:val="样式2"/>
    <w:basedOn w:val="1"/>
    <w:autoRedefine/>
    <w:qFormat/>
    <w:uiPriority w:val="0"/>
    <w:rPr>
      <w:rFonts w:ascii="Times New Roman" w:hAnsi="Times New Roman"/>
    </w:rPr>
  </w:style>
  <w:style w:type="character" w:customStyle="1" w:styleId="31">
    <w:name w:val="日期 Char"/>
    <w:basedOn w:val="18"/>
    <w:link w:val="9"/>
    <w:autoRedefine/>
    <w:semiHidden/>
    <w:qFormat/>
    <w:uiPriority w:val="99"/>
    <w:rPr>
      <w:rFonts w:ascii="Calibri" w:hAnsi="Calibri" w:eastAsia="宋体" w:cs="Times New Roman"/>
    </w:rPr>
  </w:style>
  <w:style w:type="table" w:customStyle="1" w:styleId="32">
    <w:name w:val="网格型1"/>
    <w:basedOn w:val="1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网格型3"/>
    <w:basedOn w:val="16"/>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
    <w:name w:val="正文标题"/>
    <w:basedOn w:val="1"/>
    <w:next w:val="1"/>
    <w:autoRedefine/>
    <w:qFormat/>
    <w:uiPriority w:val="0"/>
    <w:pPr>
      <w:spacing w:line="560" w:lineRule="exact"/>
      <w:jc w:val="center"/>
    </w:pPr>
    <w:rPr>
      <w:rFonts w:ascii="方正小标宋简体" w:hAnsi="Times New Roman" w:eastAsia="方正小标宋简体"/>
      <w:sz w:val="44"/>
      <w:szCs w:val="24"/>
    </w:rPr>
  </w:style>
  <w:style w:type="character" w:customStyle="1" w:styleId="35">
    <w:name w:val="标题 2 Char"/>
    <w:basedOn w:val="18"/>
    <w:link w:val="2"/>
    <w:autoRedefine/>
    <w:qFormat/>
    <w:uiPriority w:val="9"/>
    <w:rPr>
      <w:rFonts w:asciiTheme="majorHAnsi" w:hAnsiTheme="majorHAnsi" w:eastAsiaTheme="majorEastAsia" w:cstheme="majorBidi"/>
      <w:b/>
      <w:bCs/>
      <w:kern w:val="2"/>
      <w:sz w:val="32"/>
      <w:szCs w:val="32"/>
    </w:rPr>
  </w:style>
  <w:style w:type="table" w:customStyle="1" w:styleId="36">
    <w:name w:val="网格型2"/>
    <w:basedOn w:val="1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标题 41"/>
    <w:autoRedefine/>
    <w:qFormat/>
    <w:uiPriority w:val="0"/>
    <w:pPr>
      <w:widowControl w:val="0"/>
      <w:numPr>
        <w:ilvl w:val="3"/>
        <w:numId w:val="1"/>
      </w:numPr>
      <w:snapToGrid w:val="0"/>
      <w:spacing w:line="400" w:lineRule="exact"/>
      <w:jc w:val="both"/>
      <w:outlineLvl w:val="3"/>
    </w:pPr>
    <w:rPr>
      <w:rFonts w:eastAsia="宋体" w:asciiTheme="minorHAnsi" w:hAnsiTheme="minorHAnsi" w:cstheme="minorBidi"/>
      <w:kern w:val="2"/>
      <w:sz w:val="21"/>
      <w:szCs w:val="28"/>
      <w:lang w:val="en-US" w:eastAsia="zh-CN" w:bidi="ar-SA"/>
    </w:rPr>
  </w:style>
  <w:style w:type="paragraph" w:customStyle="1" w:styleId="38">
    <w:name w:val="正文2"/>
    <w:basedOn w:val="15"/>
    <w:next w:val="15"/>
    <w:autoRedefine/>
    <w:qFormat/>
    <w:uiPriority w:val="0"/>
    <w:pPr>
      <w:ind w:firstLine="200" w:firstLineChars="200"/>
    </w:pPr>
  </w:style>
  <w:style w:type="character" w:customStyle="1" w:styleId="39">
    <w:name w:val="二级明显强调"/>
    <w:autoRedefine/>
    <w:qFormat/>
    <w:uiPriority w:val="0"/>
    <w:rPr>
      <w:rFonts w:ascii="楷体_GB2312" w:eastAsia="楷体_GB2312"/>
      <w:color w:val="auto"/>
      <w:sz w:val="32"/>
    </w:rPr>
  </w:style>
  <w:style w:type="character" w:customStyle="1" w:styleId="40">
    <w:name w:val="一级明显强调"/>
    <w:autoRedefine/>
    <w:qFormat/>
    <w:uiPriority w:val="0"/>
    <w:rPr>
      <w:rFonts w:eastAsia="黑体"/>
      <w:sz w:val="32"/>
    </w:rPr>
  </w:style>
  <w:style w:type="table" w:customStyle="1" w:styleId="41">
    <w:name w:val="网格型4"/>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38881-ADE6-4B06-9306-FE88AD801A26}">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1767</Words>
  <Characters>1826</Characters>
  <Lines>72</Lines>
  <Paragraphs>20</Paragraphs>
  <TotalTime>4</TotalTime>
  <ScaleCrop>false</ScaleCrop>
  <LinksUpToDate>false</LinksUpToDate>
  <CharactersWithSpaces>1851</CharactersWithSpaces>
  <Application>WPS Office_12.1.0.21171_F1E327BC-269C-435d-A152-05C5408002CA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2024-04-20T12:54:00Z</dcterms:created>
  <dc:creator>PTQ</dc:creator>
  <cp:lastModifiedBy>ZDQ</cp:lastModifiedBy>
  <cp:lastPrinted>2025-06-03T09:08:14Z</cp:lastPrinted>
  <dcterms:modified xsi:type="dcterms:W3CDTF">2025-06-03T09:09:35Z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245E1315AD22499099376B87C80D2965</vt:lpwstr>
  </property>
  <property fmtid="{D5CDD505-2E9C-101B-9397-08002B2CF9AE}" pid="4" name="KSOTemplateDocerSaveRecord">
    <vt:lpwstr>eyJoZGlkIjoiOGI4NzFlYWJhZGY2ZjAzNmFhNDI0YWY0MWY1MDAwNDciLCJ1c2VySWQiOiIzMTQ1ODU5MjcifQ==</vt:lpwstr>
  </property>
</Properties>
</file>