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7"/>
        <w:gridCol w:w="2567"/>
        <w:gridCol w:w="1783"/>
        <w:gridCol w:w="2833"/>
        <w:gridCol w:w="2335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40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基本医疗保险参保信息变更登记表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填报单位（盖章）：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单位编号：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填报日期：  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年   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个人编号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变更事项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变更前</w:t>
            </w:r>
          </w:p>
        </w:tc>
        <w:tc>
          <w:tcPr>
            <w:tcW w:w="2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变更后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5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单位负责人：          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单位经办人：       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经办人联系电话：     　                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温馨提示：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404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456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单位编号是指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参加职工基本医疗保险的编号；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2.变更姓名或身份证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号码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的提供居民身份证或派出所出具的变更证明复印件，核原件。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3.参保人员更改办公电话、移动电话、邮编、常住地详细地址、民族、性别的，单位申报不需提供附件材料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个人申报提供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58" w:leftChars="456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有效身份证件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，验原件；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4.本表一式一份，经办机构留存。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140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110"/>
        <w:gridCol w:w="2970"/>
        <w:gridCol w:w="1965"/>
        <w:gridCol w:w="2490"/>
        <w:gridCol w:w="2456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04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基本医疗保险参保信息变更登记表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（填写示范文本）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填报单位（盖章）：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单位编号：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填报日期：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val="en-US" w:eastAsia="zh-CN"/>
              </w:rPr>
              <w:t>个人编号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变更事项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变更前</w:t>
            </w:r>
          </w:p>
        </w:tc>
        <w:tc>
          <w:tcPr>
            <w:tcW w:w="2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变更后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bidi="th-TH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th-TH"/>
              </w:rPr>
              <w:t>450000000000082300XXXXXXXX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th-TH"/>
              </w:rPr>
              <w:t>张三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bidi="th-TH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th-TH"/>
              </w:rPr>
              <w:t>450101XXXXXXXXXXXX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th-TH"/>
              </w:rPr>
              <w:t>电话号码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th-TH"/>
              </w:rPr>
              <w:t>1387458XXX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th-TH"/>
              </w:rPr>
              <w:t>1325984XXXX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单位负责人：          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单位经办人：       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经办人联系电话：     　                　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温馨提示：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404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456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单位编号是指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参加职工基本医疗保险的编号；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2.变更姓名或身份证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号码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的提供居民身份证或派出所出具的变更证明复印件，核原件。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3.参保人员更改办公电话、移动电话、邮编、常住地详细地址、民族、性别的，单位申报不需提供附件材料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个人申报提供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58" w:leftChars="456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有效身份证件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，验原件；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4.本表一式一份，经办机构留存。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417" w:right="1417" w:bottom="1134" w:left="1417" w:header="851" w:footer="1134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常见错误示例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《基本医疗保险参保信息变更登记表》中未填写变更事项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和变更后内容</w:t>
      </w:r>
      <w:r>
        <w:rPr>
          <w:rFonts w:hint="eastAsia" w:ascii="仿宋_GB2312" w:hAnsi="黑体" w:eastAsia="仿宋_GB2312" w:cs="黑体"/>
          <w:sz w:val="32"/>
          <w:szCs w:val="32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</w:t>
    </w: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  <w:lang w:eastAsia="zh-CN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 w:cs="宋体"/>
        <w:sz w:val="28"/>
        <w:szCs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0A84B63"/>
    <w:rsid w:val="10A84B63"/>
    <w:rsid w:val="357C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2024-04-09T02:08:00Z</dcterms:created>
  <dc:creator>纯粹几何</dc:creator>
  <cp:lastModifiedBy>纯粹几何</cp:lastModifiedBy>
  <dcterms:modified xsi:type="dcterms:W3CDTF">2024-04-09T02:13:41Z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FF28D61549274E139BFEFDDAE9E207A7_11</vt:lpwstr>
  </property>
</Properties>
</file>