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1" w:name="_GoBack"/>
      <w:bookmarkEnd w:id="1"/>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东莞市寮步镇社区卫生服务中心202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年第二次招聘纳入岗位管理的编制外人员岗位表</w:t>
      </w:r>
      <w:bookmarkEnd w:id="0"/>
    </w:p>
    <w:tbl>
      <w:tblPr>
        <w:tblStyle w:val="3"/>
        <w:tblpPr w:leftFromText="180" w:rightFromText="180" w:vertAnchor="page" w:horzAnchor="page" w:tblpX="861" w:tblpY="3663"/>
        <w:tblW w:w="15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0"/>
        <w:gridCol w:w="832"/>
        <w:gridCol w:w="1414"/>
        <w:gridCol w:w="763"/>
        <w:gridCol w:w="805"/>
        <w:gridCol w:w="3322"/>
        <w:gridCol w:w="843"/>
        <w:gridCol w:w="2072"/>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序号</w:t>
            </w:r>
          </w:p>
        </w:tc>
        <w:tc>
          <w:tcPr>
            <w:tcW w:w="7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岗位名称</w:t>
            </w:r>
          </w:p>
        </w:tc>
        <w:tc>
          <w:tcPr>
            <w:tcW w:w="8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hint="eastAsia" w:eastAsia="仿宋_GB2312"/>
                <w:b/>
                <w:sz w:val="21"/>
                <w:szCs w:val="21"/>
              </w:rPr>
              <w:t>类别</w:t>
            </w:r>
          </w:p>
        </w:tc>
        <w:tc>
          <w:tcPr>
            <w:tcW w:w="141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hint="eastAsia" w:eastAsia="仿宋_GB2312"/>
                <w:b/>
                <w:sz w:val="21"/>
                <w:szCs w:val="21"/>
              </w:rPr>
              <w:t>岗位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hint="eastAsia" w:eastAsia="仿宋_GB2312"/>
                <w:b/>
                <w:sz w:val="21"/>
                <w:szCs w:val="21"/>
              </w:rPr>
              <w:t>等级</w:t>
            </w:r>
          </w:p>
        </w:tc>
        <w:tc>
          <w:tcPr>
            <w:tcW w:w="7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岗位代码</w:t>
            </w:r>
          </w:p>
        </w:tc>
        <w:tc>
          <w:tcPr>
            <w:tcW w:w="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招聘人数</w:t>
            </w:r>
          </w:p>
        </w:tc>
        <w:tc>
          <w:tcPr>
            <w:tcW w:w="33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专业</w:t>
            </w:r>
          </w:p>
        </w:tc>
        <w:tc>
          <w:tcPr>
            <w:tcW w:w="84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学历学位</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职称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pacing w:val="20"/>
                <w:sz w:val="21"/>
                <w:szCs w:val="21"/>
              </w:rPr>
            </w:pPr>
            <w:r>
              <w:rPr>
                <w:rFonts w:hint="eastAsia" w:eastAsia="仿宋_GB2312"/>
                <w:b/>
                <w:spacing w:val="20"/>
                <w:sz w:val="21"/>
                <w:szCs w:val="21"/>
              </w:rPr>
              <w:t>技能</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spacing w:val="20"/>
                <w:sz w:val="21"/>
                <w:szCs w:val="21"/>
              </w:rPr>
            </w:pPr>
            <w:r>
              <w:rPr>
                <w:rFonts w:hint="eastAsia" w:ascii="仿宋_GB2312" w:hAnsi="仿宋_GB2312" w:eastAsia="仿宋_GB2312" w:cs="仿宋_GB2312"/>
                <w:sz w:val="21"/>
                <w:szCs w:val="21"/>
              </w:rPr>
              <w:t>1</w:t>
            </w:r>
          </w:p>
        </w:tc>
        <w:tc>
          <w:tcPr>
            <w:tcW w:w="7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sz w:val="21"/>
                <w:szCs w:val="21"/>
              </w:rPr>
            </w:pPr>
            <w:r>
              <w:rPr>
                <w:rFonts w:hint="eastAsia" w:ascii="仿宋_GB2312" w:hAnsi="仿宋_GB2312" w:eastAsia="仿宋_GB2312" w:cs="仿宋_GB2312"/>
                <w:sz w:val="21"/>
                <w:szCs w:val="21"/>
                <w:lang w:eastAsia="zh-CN"/>
              </w:rPr>
              <w:t>全科医生</w:t>
            </w:r>
          </w:p>
        </w:tc>
        <w:tc>
          <w:tcPr>
            <w:tcW w:w="8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_GB2312"/>
                <w:b/>
                <w:sz w:val="21"/>
                <w:szCs w:val="21"/>
              </w:rPr>
            </w:pPr>
            <w:r>
              <w:rPr>
                <w:rFonts w:hint="eastAsia" w:ascii="仿宋_GB2312" w:hAnsi="仿宋_GB2312" w:eastAsia="仿宋_GB2312" w:cs="仿宋_GB2312"/>
                <w:sz w:val="21"/>
                <w:szCs w:val="21"/>
                <w:lang w:eastAsia="zh-CN"/>
              </w:rPr>
              <w:t>技术</w:t>
            </w:r>
          </w:p>
        </w:tc>
        <w:tc>
          <w:tcPr>
            <w:tcW w:w="141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_GB2312"/>
                <w:b/>
                <w:sz w:val="21"/>
                <w:szCs w:val="21"/>
              </w:rPr>
            </w:pPr>
            <w:r>
              <w:rPr>
                <w:rFonts w:hint="eastAsia" w:ascii="仿宋_GB2312" w:hAnsi="仿宋_GB2312" w:eastAsia="仿宋_GB2312" w:cs="仿宋_GB2312"/>
                <w:sz w:val="21"/>
                <w:szCs w:val="21"/>
                <w:lang w:eastAsia="zh-CN"/>
              </w:rPr>
              <w:t>专业技术十二级或以上</w:t>
            </w:r>
          </w:p>
        </w:tc>
        <w:tc>
          <w:tcPr>
            <w:tcW w:w="7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sz w:val="21"/>
                <w:szCs w:val="21"/>
              </w:rPr>
            </w:pPr>
            <w:r>
              <w:rPr>
                <w:rFonts w:hint="eastAsia" w:ascii="仿宋_GB2312" w:hAnsi="仿宋_GB2312" w:eastAsia="仿宋_GB2312" w:cs="仿宋_GB2312"/>
                <w:sz w:val="24"/>
                <w:szCs w:val="24"/>
              </w:rPr>
              <w:t>001</w:t>
            </w:r>
          </w:p>
        </w:tc>
        <w:tc>
          <w:tcPr>
            <w:tcW w:w="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spacing w:val="20"/>
                <w:sz w:val="21"/>
                <w:szCs w:val="21"/>
              </w:rPr>
            </w:pPr>
            <w:r>
              <w:rPr>
                <w:rFonts w:hint="eastAsia" w:ascii="仿宋_GB2312" w:hAnsi="仿宋_GB2312" w:eastAsia="仿宋_GB2312" w:cs="仿宋_GB2312"/>
                <w:sz w:val="24"/>
                <w:szCs w:val="24"/>
                <w:lang w:val="en-US" w:eastAsia="zh-CN"/>
              </w:rPr>
              <w:t>1</w:t>
            </w:r>
          </w:p>
        </w:tc>
        <w:tc>
          <w:tcPr>
            <w:tcW w:w="33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内科学（A100201）</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儿科学（A100202）                   </w:t>
            </w:r>
          </w:p>
          <w:p>
            <w:pPr>
              <w:keepNext w:val="0"/>
              <w:keepLines w:val="0"/>
              <w:pageBreakBefore w:val="0"/>
              <w:widowControl w:val="0"/>
              <w:kinsoku/>
              <w:wordWrap/>
              <w:overflowPunct/>
              <w:topLinePunct w:val="0"/>
              <w:autoSpaceDE/>
              <w:autoSpaceDN/>
              <w:bidi w:val="0"/>
              <w:adjustRightInd/>
              <w:snapToGrid/>
              <w:spacing w:line="240" w:lineRule="exact"/>
              <w:ind w:left="2730" w:hanging="2730" w:hangingChars="1300"/>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中医内科学</w:t>
            </w:r>
            <w:r>
              <w:rPr>
                <w:rFonts w:hint="eastAsia" w:ascii="仿宋_GB2312" w:hAnsi="仿宋_GB2312" w:eastAsia="仿宋_GB2312" w:cs="仿宋_GB2312"/>
                <w:sz w:val="21"/>
                <w:szCs w:val="21"/>
                <w:lang w:val="en-US" w:eastAsia="zh-CN"/>
              </w:rPr>
              <w:t>（A100506）</w:t>
            </w:r>
          </w:p>
          <w:p>
            <w:pPr>
              <w:keepNext w:val="0"/>
              <w:keepLines w:val="0"/>
              <w:pageBreakBefore w:val="0"/>
              <w:widowControl w:val="0"/>
              <w:kinsoku/>
              <w:wordWrap/>
              <w:overflowPunct/>
              <w:topLinePunct w:val="0"/>
              <w:autoSpaceDE/>
              <w:autoSpaceDN/>
              <w:bidi w:val="0"/>
              <w:adjustRightInd/>
              <w:snapToGrid/>
              <w:spacing w:line="240" w:lineRule="exact"/>
              <w:ind w:left="2730" w:leftChars="0" w:hanging="2730" w:hangingChars="1300"/>
              <w:jc w:val="left"/>
              <w:textAlignment w:val="auto"/>
              <w:rPr>
                <w:rFonts w:eastAsia="仿宋_GB2312"/>
                <w:b/>
                <w:spacing w:val="20"/>
                <w:sz w:val="21"/>
                <w:szCs w:val="21"/>
              </w:rPr>
            </w:pPr>
            <w:r>
              <w:rPr>
                <w:rFonts w:hint="eastAsia" w:ascii="仿宋_GB2312" w:hAnsi="仿宋_GB2312" w:eastAsia="仿宋_GB2312" w:cs="仿宋_GB2312"/>
                <w:sz w:val="21"/>
                <w:szCs w:val="21"/>
                <w:lang w:val="en-US" w:eastAsia="zh-CN"/>
              </w:rPr>
              <w:t>中西医结合临床(A100602)</w:t>
            </w:r>
          </w:p>
        </w:tc>
        <w:tc>
          <w:tcPr>
            <w:tcW w:w="84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b/>
                <w:spacing w:val="20"/>
                <w:sz w:val="21"/>
                <w:szCs w:val="21"/>
              </w:rPr>
            </w:pPr>
            <w:r>
              <w:rPr>
                <w:rFonts w:hint="eastAsia" w:ascii="仿宋_GB2312" w:hAnsi="仿宋_GB2312" w:eastAsia="仿宋_GB2312" w:cs="仿宋_GB2312"/>
                <w:color w:val="auto"/>
                <w:sz w:val="21"/>
                <w:szCs w:val="21"/>
                <w:lang w:eastAsia="zh-CN"/>
              </w:rPr>
              <w:t>硕士研究生</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_GB2312"/>
                <w:b/>
                <w:spacing w:val="20"/>
                <w:sz w:val="21"/>
                <w:szCs w:val="21"/>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仿宋_GB2312"/>
                <w:b/>
                <w:sz w:val="21"/>
                <w:szCs w:val="21"/>
              </w:rPr>
            </w:pPr>
            <w:r>
              <w:rPr>
                <w:rFonts w:hint="eastAsia" w:ascii="仿宋_GB2312" w:hAnsi="仿宋_GB2312" w:eastAsia="仿宋_GB2312" w:cs="仿宋_GB2312"/>
                <w:color w:val="auto"/>
                <w:sz w:val="21"/>
                <w:szCs w:val="21"/>
                <w:lang w:val="en-US" w:eastAsia="zh-CN"/>
              </w:rPr>
              <w:t>3、具有</w:t>
            </w:r>
            <w:r>
              <w:rPr>
                <w:rFonts w:hint="eastAsia" w:ascii="仿宋_GB2312" w:hAnsi="仿宋_GB2312" w:eastAsia="仿宋_GB2312" w:cs="仿宋_GB2312"/>
                <w:color w:val="auto"/>
                <w:sz w:val="21"/>
                <w:szCs w:val="21"/>
                <w:highlight w:val="none"/>
                <w:lang w:eastAsia="zh-CN"/>
              </w:rPr>
              <w:t>中级以上职称者，年龄放宽至</w:t>
            </w:r>
            <w:r>
              <w:rPr>
                <w:rFonts w:hint="eastAsia" w:ascii="仿宋_GB2312" w:hAnsi="仿宋_GB2312" w:eastAsia="仿宋_GB2312" w:cs="仿宋_GB2312"/>
                <w:color w:val="auto"/>
                <w:sz w:val="21"/>
                <w:szCs w:val="21"/>
                <w:highlight w:val="none"/>
                <w:lang w:val="en-US" w:eastAsia="zh-CN"/>
              </w:rPr>
              <w:t>40岁以下。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7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全科医生</w:t>
            </w:r>
          </w:p>
        </w:tc>
        <w:tc>
          <w:tcPr>
            <w:tcW w:w="83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技术</w:t>
            </w:r>
          </w:p>
        </w:tc>
        <w:tc>
          <w:tcPr>
            <w:tcW w:w="141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专业技术十二级或以上</w:t>
            </w:r>
          </w:p>
        </w:tc>
        <w:tc>
          <w:tcPr>
            <w:tcW w:w="7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80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US" w:eastAsia="zh-CN"/>
              </w:rPr>
              <w:t>5</w:t>
            </w:r>
          </w:p>
        </w:tc>
        <w:tc>
          <w:tcPr>
            <w:tcW w:w="332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临床医学（</w:t>
            </w:r>
            <w:r>
              <w:rPr>
                <w:rFonts w:hint="eastAsia" w:ascii="仿宋_GB2312" w:hAnsi="仿宋_GB2312" w:eastAsia="仿宋_GB2312" w:cs="仿宋_GB2312"/>
                <w:sz w:val="21"/>
                <w:szCs w:val="21"/>
                <w:lang w:val="en-US" w:eastAsia="zh-CN"/>
              </w:rPr>
              <w:t>B100301</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中医学（</w:t>
            </w:r>
            <w:r>
              <w:rPr>
                <w:rFonts w:hint="eastAsia" w:ascii="仿宋_GB2312" w:hAnsi="仿宋_GB2312" w:eastAsia="仿宋_GB2312" w:cs="仿宋_GB2312"/>
                <w:sz w:val="21"/>
                <w:szCs w:val="21"/>
                <w:lang w:val="en-US" w:eastAsia="zh-CN"/>
              </w:rPr>
              <w:t>B100801</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2730" w:hanging="2730" w:hangingChars="13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中西医临床医学（B100901）</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2730" w:hanging="2730" w:hangingChars="13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临床医学（C100101）</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2730" w:hanging="2730" w:hangingChars="13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中医学（C100103）</w:t>
            </w:r>
          </w:p>
          <w:p>
            <w:pPr>
              <w:keepNext w:val="0"/>
              <w:keepLines w:val="0"/>
              <w:pageBreakBefore w:val="0"/>
              <w:widowControl w:val="0"/>
              <w:kinsoku/>
              <w:wordWrap/>
              <w:overflowPunct/>
              <w:topLinePunct w:val="0"/>
              <w:autoSpaceDE/>
              <w:autoSpaceDN/>
              <w:bidi w:val="0"/>
              <w:adjustRightInd/>
              <w:snapToGrid/>
              <w:spacing w:line="240" w:lineRule="exact"/>
              <w:ind w:left="2730" w:leftChars="0" w:hanging="2730" w:hangingChars="1300"/>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中西医结合</w:t>
            </w:r>
            <w:r>
              <w:rPr>
                <w:rFonts w:hint="eastAsia" w:ascii="仿宋_GB2312" w:hAnsi="仿宋_GB2312" w:eastAsia="仿宋_GB2312" w:cs="仿宋_GB2312"/>
                <w:sz w:val="21"/>
                <w:szCs w:val="21"/>
                <w:lang w:val="en-US" w:eastAsia="zh-CN"/>
              </w:rPr>
              <w:t>（C100801）</w:t>
            </w:r>
          </w:p>
        </w:tc>
        <w:tc>
          <w:tcPr>
            <w:tcW w:w="84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大专及以上</w:t>
            </w:r>
          </w:p>
        </w:tc>
        <w:tc>
          <w:tcPr>
            <w:tcW w:w="20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3、具有</w:t>
            </w:r>
            <w:r>
              <w:rPr>
                <w:rFonts w:hint="eastAsia" w:ascii="仿宋_GB2312" w:hAnsi="仿宋_GB2312" w:eastAsia="仿宋_GB2312" w:cs="仿宋_GB2312"/>
                <w:color w:val="auto"/>
                <w:sz w:val="21"/>
                <w:szCs w:val="21"/>
                <w:highlight w:val="none"/>
                <w:lang w:eastAsia="zh-CN"/>
              </w:rPr>
              <w:t>中级以上职称者，年龄放宽至</w:t>
            </w:r>
            <w:r>
              <w:rPr>
                <w:rFonts w:hint="eastAsia" w:ascii="仿宋_GB2312" w:hAnsi="仿宋_GB2312" w:eastAsia="仿宋_GB2312" w:cs="仿宋_GB2312"/>
                <w:color w:val="auto"/>
                <w:sz w:val="21"/>
                <w:szCs w:val="21"/>
                <w:highlight w:val="none"/>
                <w:lang w:val="en-US" w:eastAsia="zh-CN"/>
              </w:rPr>
              <w:t>40岁以下。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sz w:val="21"/>
                <w:szCs w:val="21"/>
                <w:lang w:eastAsia="zh-CN"/>
              </w:rPr>
              <w:t>公卫医生</w:t>
            </w: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sz w:val="21"/>
                <w:szCs w:val="21"/>
                <w:lang w:eastAsia="zh-CN"/>
              </w:rPr>
              <w:t>技术</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sz w:val="21"/>
                <w:szCs w:val="21"/>
                <w:lang w:eastAsia="zh-CN"/>
              </w:rPr>
              <w:t>专业技术十二级以上或</w:t>
            </w:r>
            <w:r>
              <w:rPr>
                <w:rFonts w:hint="default" w:ascii="Times New Roman" w:hAnsi="Times New Roman" w:eastAsia="仿宋_GB2312" w:cs="Times New Roman"/>
                <w:sz w:val="24"/>
                <w:lang w:eastAsia="zh-CN"/>
              </w:rPr>
              <w:t>见习期</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sz w:val="24"/>
                <w:szCs w:val="24"/>
                <w:lang w:val="en-US" w:eastAsia="zh-CN"/>
              </w:rPr>
              <w:t>002</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预防医学（</w:t>
            </w:r>
            <w:r>
              <w:rPr>
                <w:rFonts w:hint="eastAsia" w:ascii="仿宋_GB2312" w:hAnsi="仿宋_GB2312" w:eastAsia="仿宋_GB2312" w:cs="仿宋_GB2312"/>
                <w:sz w:val="21"/>
                <w:szCs w:val="21"/>
                <w:lang w:val="en-US" w:eastAsia="zh-CN"/>
              </w:rPr>
              <w:t>B100701</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流行病与卫生统计学（</w:t>
            </w:r>
            <w:r>
              <w:rPr>
                <w:rFonts w:hint="eastAsia" w:ascii="仿宋_GB2312" w:hAnsi="仿宋_GB2312" w:eastAsia="仿宋_GB2312" w:cs="仿宋_GB2312"/>
                <w:sz w:val="21"/>
                <w:szCs w:val="21"/>
                <w:lang w:val="en-US" w:eastAsia="zh-CN"/>
              </w:rPr>
              <w:t>A100401</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sz w:val="21"/>
                <w:szCs w:val="21"/>
                <w:lang w:eastAsia="zh-CN"/>
              </w:rPr>
              <w:t>公共卫生硕士（</w:t>
            </w:r>
            <w:r>
              <w:rPr>
                <w:rFonts w:hint="eastAsia" w:ascii="仿宋_GB2312" w:hAnsi="仿宋_GB2312" w:eastAsia="仿宋_GB2312" w:cs="仿宋_GB2312"/>
                <w:sz w:val="21"/>
                <w:szCs w:val="21"/>
                <w:lang w:val="en-US" w:eastAsia="zh-CN"/>
              </w:rPr>
              <w:t>A100407</w:t>
            </w:r>
            <w:r>
              <w:rPr>
                <w:rFonts w:hint="eastAsia" w:ascii="仿宋_GB2312" w:hAnsi="仿宋_GB2312" w:eastAsia="仿宋_GB2312" w:cs="仿宋_GB2312"/>
                <w:sz w:val="21"/>
                <w:szCs w:val="21"/>
                <w:lang w:eastAsia="zh-CN"/>
              </w:rPr>
              <w:t>）</w:t>
            </w:r>
          </w:p>
        </w:tc>
        <w:tc>
          <w:tcPr>
            <w:tcW w:w="84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auto"/>
                <w:sz w:val="21"/>
                <w:szCs w:val="21"/>
              </w:rPr>
              <w:t>本科</w:t>
            </w:r>
            <w:r>
              <w:rPr>
                <w:rFonts w:hint="eastAsia" w:ascii="仿宋_GB2312" w:hAnsi="仿宋_GB2312" w:eastAsia="仿宋_GB2312" w:cs="仿宋_GB2312"/>
                <w:color w:val="auto"/>
                <w:sz w:val="21"/>
                <w:szCs w:val="21"/>
                <w:lang w:eastAsia="zh-CN"/>
              </w:rPr>
              <w:t>及以上</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auto"/>
                <w:sz w:val="21"/>
                <w:szCs w:val="21"/>
                <w:lang w:eastAsia="zh-CN"/>
              </w:rPr>
              <w:t>医师及以上职称或</w:t>
            </w:r>
            <w:r>
              <w:rPr>
                <w:rFonts w:hint="eastAsia" w:ascii="仿宋_GB2312" w:hAnsi="仿宋_GB2312" w:eastAsia="仿宋_GB2312" w:cs="仿宋_GB2312"/>
                <w:color w:val="auto"/>
                <w:sz w:val="21"/>
                <w:szCs w:val="21"/>
                <w:lang w:val="en-US" w:eastAsia="zh-CN"/>
              </w:rPr>
              <w:t>2022</w:t>
            </w:r>
            <w:r>
              <w:rPr>
                <w:rFonts w:hint="eastAsia" w:ascii="仿宋_GB2312" w:hAnsi="仿宋_GB2312" w:eastAsia="仿宋_GB2312" w:cs="仿宋_GB2312"/>
                <w:color w:val="auto"/>
                <w:sz w:val="21"/>
                <w:szCs w:val="21"/>
                <w:lang w:eastAsia="zh-CN"/>
              </w:rPr>
              <w:t>年毕业生</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ind w:left="1890" w:hanging="1890" w:hangingChars="90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2、具有医师执业资格。               </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default"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highlight w:val="none"/>
                <w:lang w:val="en-US" w:eastAsia="zh-CN"/>
              </w:rPr>
              <w:t>2022</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lang w:val="en-US" w:eastAsia="zh-CN"/>
              </w:rPr>
              <w:t>毕业生</w:t>
            </w:r>
            <w:r>
              <w:rPr>
                <w:rFonts w:hint="eastAsia" w:ascii="仿宋_GB2312" w:hAnsi="仿宋_GB2312" w:eastAsia="仿宋_GB2312" w:cs="仿宋_GB2312"/>
                <w:color w:val="auto"/>
                <w:sz w:val="21"/>
                <w:szCs w:val="21"/>
                <w:highlight w:val="none"/>
              </w:rPr>
              <w:t>不作职称要求</w:t>
            </w:r>
            <w:r>
              <w:rPr>
                <w:rFonts w:hint="eastAsia" w:ascii="仿宋_GB2312" w:hAnsi="仿宋_GB2312" w:eastAsia="仿宋_GB2312" w:cs="仿宋_GB2312"/>
                <w:color w:val="auto"/>
                <w:sz w:val="21"/>
                <w:szCs w:val="21"/>
                <w:highlight w:val="none"/>
                <w:lang w:eastAsia="zh-CN"/>
              </w:rPr>
              <w:t>，纳入见习期管理</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口腔医生</w:t>
            </w: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技术</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lang w:eastAsia="zh-CN"/>
              </w:rPr>
              <w:t>专业技术十二级以上或</w:t>
            </w:r>
            <w:r>
              <w:rPr>
                <w:rFonts w:hint="default" w:ascii="仿宋_GB2312" w:hAnsi="仿宋_GB2312" w:eastAsia="仿宋_GB2312" w:cs="仿宋_GB2312"/>
                <w:sz w:val="21"/>
                <w:szCs w:val="21"/>
                <w:lang w:eastAsia="zh-CN"/>
              </w:rPr>
              <w:t>见习期</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003</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口腔医学（</w:t>
            </w:r>
            <w:r>
              <w:rPr>
                <w:rFonts w:hint="eastAsia" w:ascii="仿宋_GB2312" w:hAnsi="仿宋_GB2312" w:eastAsia="仿宋_GB2312" w:cs="仿宋_GB2312"/>
                <w:sz w:val="21"/>
                <w:szCs w:val="21"/>
                <w:lang w:val="en-US" w:eastAsia="zh-CN"/>
              </w:rPr>
              <w:t>B100601</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口腔医学（C100102）</w:t>
            </w:r>
          </w:p>
        </w:tc>
        <w:tc>
          <w:tcPr>
            <w:tcW w:w="84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大专及以上</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lang w:eastAsia="zh-CN"/>
              </w:rPr>
              <w:t>医师及以上职称或</w:t>
            </w:r>
            <w:r>
              <w:rPr>
                <w:rFonts w:hint="eastAsia" w:ascii="仿宋_GB2312" w:hAnsi="仿宋_GB2312" w:eastAsia="仿宋_GB2312" w:cs="仿宋_GB2312"/>
                <w:color w:val="auto"/>
                <w:sz w:val="21"/>
                <w:szCs w:val="21"/>
                <w:lang w:val="en-US" w:eastAsia="zh-CN"/>
              </w:rPr>
              <w:t>2022</w:t>
            </w:r>
            <w:r>
              <w:rPr>
                <w:rFonts w:hint="eastAsia" w:ascii="仿宋_GB2312" w:hAnsi="仿宋_GB2312" w:eastAsia="仿宋_GB2312" w:cs="仿宋_GB2312"/>
                <w:color w:val="auto"/>
                <w:sz w:val="21"/>
                <w:szCs w:val="21"/>
                <w:lang w:eastAsia="zh-CN"/>
              </w:rPr>
              <w:t>年毕业生</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ind w:left="3570" w:hanging="3570" w:hangingChars="1700"/>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highlight w:val="none"/>
                <w:lang w:val="en-US" w:eastAsia="zh-CN"/>
              </w:rPr>
              <w:t>2022</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lang w:val="en-US" w:eastAsia="zh-CN"/>
              </w:rPr>
              <w:t>毕业生</w:t>
            </w:r>
            <w:r>
              <w:rPr>
                <w:rFonts w:hint="eastAsia" w:ascii="仿宋_GB2312" w:hAnsi="仿宋_GB2312" w:eastAsia="仿宋_GB2312" w:cs="仿宋_GB2312"/>
                <w:color w:val="auto"/>
                <w:sz w:val="21"/>
                <w:szCs w:val="21"/>
                <w:highlight w:val="none"/>
              </w:rPr>
              <w:t>不作职称要求</w:t>
            </w:r>
            <w:r>
              <w:rPr>
                <w:rFonts w:hint="eastAsia" w:ascii="仿宋_GB2312" w:hAnsi="仿宋_GB2312" w:eastAsia="仿宋_GB2312" w:cs="仿宋_GB2312"/>
                <w:color w:val="auto"/>
                <w:sz w:val="21"/>
                <w:szCs w:val="21"/>
                <w:highlight w:val="none"/>
                <w:lang w:eastAsia="zh-CN"/>
              </w:rPr>
              <w:t>，纳入见习期管理</w:t>
            </w:r>
            <w:r>
              <w:rPr>
                <w:rFonts w:hint="eastAsia" w:ascii="仿宋_GB2312" w:hAnsi="仿宋_GB2312" w:eastAsia="仿宋_GB2312" w:cs="仿宋_GB2312"/>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lang w:val="en-US" w:eastAsia="zh-CN"/>
              </w:rPr>
              <w:t>具有执业医师资格，</w:t>
            </w:r>
            <w:r>
              <w:rPr>
                <w:rFonts w:hint="eastAsia" w:ascii="仿宋_GB2312" w:hAnsi="仿宋_GB2312" w:eastAsia="仿宋_GB2312" w:cs="仿宋_GB2312"/>
                <w:color w:val="auto"/>
                <w:sz w:val="21"/>
                <w:szCs w:val="21"/>
                <w:highlight w:val="none"/>
                <w:lang w:eastAsia="zh-CN"/>
              </w:rPr>
              <w:t>中级以上职称者，年龄放宽至</w:t>
            </w:r>
            <w:r>
              <w:rPr>
                <w:rFonts w:hint="eastAsia" w:ascii="仿宋_GB2312" w:hAnsi="仿宋_GB2312" w:eastAsia="仿宋_GB2312" w:cs="仿宋_GB2312"/>
                <w:color w:val="auto"/>
                <w:sz w:val="21"/>
                <w:szCs w:val="21"/>
                <w:highlight w:val="none"/>
                <w:lang w:val="en-US" w:eastAsia="zh-CN"/>
              </w:rPr>
              <w:t>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护士</w:t>
            </w:r>
            <w:r>
              <w:rPr>
                <w:rFonts w:hint="eastAsia" w:ascii="仿宋_GB2312" w:hAnsi="仿宋_GB2312" w:eastAsia="仿宋_GB2312" w:cs="仿宋_GB2312"/>
                <w:color w:val="auto"/>
                <w:sz w:val="21"/>
                <w:szCs w:val="21"/>
                <w:lang w:val="en-US" w:eastAsia="zh-CN"/>
              </w:rPr>
              <w:t xml:space="preserve"> </w:t>
            </w: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技术</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专业技术十三级或以上</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004</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680" w:hanging="1680" w:hangingChars="800"/>
              <w:jc w:val="center"/>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1680" w:hanging="1680" w:hangingChars="8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护理（C100401）</w:t>
            </w:r>
          </w:p>
          <w:p>
            <w:pPr>
              <w:keepNext w:val="0"/>
              <w:keepLines w:val="0"/>
              <w:pageBreakBefore w:val="0"/>
              <w:widowControl w:val="0"/>
              <w:kinsoku/>
              <w:wordWrap/>
              <w:overflowPunct/>
              <w:topLinePunct w:val="0"/>
              <w:autoSpaceDE/>
              <w:autoSpaceDN/>
              <w:bidi w:val="0"/>
              <w:adjustRightInd/>
              <w:snapToGrid/>
              <w:spacing w:line="240" w:lineRule="exact"/>
              <w:ind w:left="1680" w:hanging="1680" w:hangingChars="8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护理学（</w:t>
            </w:r>
            <w:r>
              <w:rPr>
                <w:rFonts w:hint="eastAsia" w:ascii="仿宋_GB2312" w:hAnsi="仿宋_GB2312" w:eastAsia="仿宋_GB2312" w:cs="仿宋_GB2312"/>
                <w:sz w:val="21"/>
                <w:szCs w:val="21"/>
                <w:lang w:val="en-US" w:eastAsia="zh-CN"/>
              </w:rPr>
              <w:t>B100501</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lang w:val="en-US" w:eastAsia="zh-CN" w:bidi="ar-SA"/>
              </w:rPr>
            </w:pPr>
          </w:p>
        </w:tc>
        <w:tc>
          <w:tcPr>
            <w:tcW w:w="84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大专及以上</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护士或以上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2、具有护士执业资格；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3、具有2</w:t>
            </w:r>
            <w:r>
              <w:rPr>
                <w:rFonts w:hint="eastAsia" w:ascii="仿宋_GB2312" w:hAnsi="仿宋_GB2312" w:eastAsia="仿宋_GB2312" w:cs="仿宋_GB2312"/>
                <w:sz w:val="21"/>
                <w:szCs w:val="21"/>
              </w:rPr>
              <w:t>年以上</w:t>
            </w:r>
            <w:r>
              <w:rPr>
                <w:rFonts w:hint="eastAsia" w:ascii="仿宋_GB2312" w:hAnsi="仿宋_GB2312" w:eastAsia="仿宋_GB2312" w:cs="仿宋_GB2312"/>
                <w:sz w:val="21"/>
                <w:szCs w:val="21"/>
                <w:lang w:eastAsia="zh-CN"/>
              </w:rPr>
              <w:t>医疗机构</w:t>
            </w:r>
            <w:r>
              <w:rPr>
                <w:rFonts w:hint="eastAsia" w:ascii="仿宋_GB2312" w:hAnsi="仿宋_GB2312" w:eastAsia="仿宋_GB2312" w:cs="仿宋_GB2312"/>
                <w:sz w:val="21"/>
                <w:szCs w:val="21"/>
              </w:rPr>
              <w:t>工作经历</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药师</w:t>
            </w: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专业技术</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sz w:val="21"/>
                <w:szCs w:val="21"/>
                <w:lang w:eastAsia="zh-CN"/>
              </w:rPr>
              <w:t>专业技术十二级或以上</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005</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322"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exact"/>
              <w:ind w:left="2100" w:hanging="2100" w:hangingChars="100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药学（B101001）</w:t>
            </w:r>
          </w:p>
          <w:p>
            <w:pPr>
              <w:keepNext w:val="0"/>
              <w:keepLines w:val="0"/>
              <w:pageBreakBefore w:val="0"/>
              <w:widowControl w:val="0"/>
              <w:kinsoku/>
              <w:wordWrap/>
              <w:overflowPunct/>
              <w:topLinePunct w:val="0"/>
              <w:autoSpaceDE/>
              <w:autoSpaceDN/>
              <w:bidi w:val="0"/>
              <w:adjustRightInd/>
              <w:snapToGrid/>
              <w:spacing w:line="240" w:lineRule="exact"/>
              <w:ind w:left="2100" w:leftChars="0" w:hanging="2100" w:hangingChars="1000"/>
              <w:jc w:val="both"/>
              <w:textAlignment w:val="auto"/>
              <w:rPr>
                <w:rFonts w:hint="eastAsia" w:ascii="仿宋_GB2312" w:hAnsi="仿宋_GB2312" w:eastAsia="仿宋_GB2312" w:cs="仿宋_GB2312"/>
                <w:color w:val="auto"/>
                <w:sz w:val="21"/>
                <w:szCs w:val="21"/>
                <w:lang w:eastAsia="zh-CN"/>
              </w:rPr>
            </w:pPr>
          </w:p>
        </w:tc>
        <w:tc>
          <w:tcPr>
            <w:tcW w:w="84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sz w:val="21"/>
                <w:szCs w:val="21"/>
                <w:lang w:eastAsia="zh-CN"/>
              </w:rPr>
              <w:t>本科</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sz w:val="21"/>
                <w:szCs w:val="21"/>
                <w:lang w:eastAsia="zh-CN"/>
              </w:rPr>
              <w:t>药师或以上职称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2、具有卫生系列药师专业技术资格；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sz w:val="21"/>
                <w:szCs w:val="21"/>
                <w:lang w:val="en-US" w:eastAsia="zh-CN"/>
              </w:rPr>
              <w:t>3、具有2</w:t>
            </w:r>
            <w:r>
              <w:rPr>
                <w:rFonts w:hint="eastAsia" w:ascii="仿宋_GB2312" w:hAnsi="仿宋_GB2312" w:eastAsia="仿宋_GB2312" w:cs="仿宋_GB2312"/>
                <w:sz w:val="21"/>
                <w:szCs w:val="21"/>
              </w:rPr>
              <w:t>年以上</w:t>
            </w:r>
            <w:r>
              <w:rPr>
                <w:rFonts w:hint="eastAsia" w:ascii="仿宋_GB2312" w:hAnsi="仿宋_GB2312" w:eastAsia="仿宋_GB2312" w:cs="仿宋_GB2312"/>
                <w:sz w:val="21"/>
                <w:szCs w:val="21"/>
                <w:lang w:eastAsia="zh-CN"/>
              </w:rPr>
              <w:t>公立医疗机构</w:t>
            </w:r>
            <w:r>
              <w:rPr>
                <w:rFonts w:hint="eastAsia" w:ascii="仿宋_GB2312" w:hAnsi="仿宋_GB2312" w:eastAsia="仿宋_GB2312" w:cs="仿宋_GB2312"/>
                <w:sz w:val="21"/>
                <w:szCs w:val="21"/>
              </w:rPr>
              <w:t>工作经历</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p>
        </w:tc>
        <w:tc>
          <w:tcPr>
            <w:tcW w:w="3749"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r>
              <w:rPr>
                <w:rFonts w:eastAsia="仿宋_GB2312"/>
                <w:sz w:val="24"/>
              </w:rPr>
              <w:t>小计</w:t>
            </w:r>
          </w:p>
        </w:tc>
        <w:tc>
          <w:tcPr>
            <w:tcW w:w="80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eastAsia="仿宋_GB2312"/>
                <w:sz w:val="24"/>
                <w:lang w:val="en-US" w:eastAsia="zh-CN"/>
              </w:rPr>
            </w:pPr>
            <w:r>
              <w:rPr>
                <w:rFonts w:hint="eastAsia" w:ascii="仿宋_GB2312" w:hAnsi="仿宋_GB2312" w:eastAsia="仿宋_GB2312" w:cs="仿宋_GB2312"/>
                <w:color w:val="auto"/>
                <w:sz w:val="24"/>
                <w:szCs w:val="24"/>
                <w:lang w:val="en-US" w:eastAsia="zh-CN"/>
              </w:rPr>
              <w:t>17</w:t>
            </w:r>
          </w:p>
        </w:tc>
        <w:tc>
          <w:tcPr>
            <w:tcW w:w="10318"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645" w:type="dxa"/>
            <w:gridSpan w:val="10"/>
            <w:tcBorders>
              <w:top w:val="single" w:color="auto" w:sz="4" w:space="0"/>
              <w:left w:val="nil"/>
              <w:bottom w:val="nil"/>
              <w:right w:val="nil"/>
            </w:tcBorders>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备注：1、年龄和工作时间计算截止到2022年12月31日。</w:t>
            </w:r>
          </w:p>
          <w:p>
            <w:pPr>
              <w:numPr>
                <w:ilvl w:val="0"/>
                <w:numId w:val="1"/>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面向社会招收的住院医师如为普通高校应届毕业生的，其住培合格当年在医疗卫生机构就业，按当年应届毕业生同等对待；</w:t>
            </w:r>
          </w:p>
          <w:p>
            <w:pPr>
              <w:numPr>
                <w:ilvl w:val="0"/>
                <w:numId w:val="1"/>
              </w:num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pPr>
              <w:keepNext w:val="0"/>
              <w:keepLines w:val="0"/>
              <w:pageBreakBefore w:val="0"/>
              <w:kinsoku/>
              <w:wordWrap/>
              <w:overflowPunct/>
              <w:topLinePunct w:val="0"/>
              <w:autoSpaceDE/>
              <w:autoSpaceDN/>
              <w:bidi w:val="0"/>
              <w:adjustRightInd/>
              <w:snapToGrid/>
              <w:spacing w:line="240" w:lineRule="exact"/>
              <w:rPr>
                <w:rFonts w:eastAsia="仿宋_GB2312"/>
                <w:sz w:val="24"/>
              </w:rPr>
            </w:pPr>
            <w:r>
              <w:rPr>
                <w:rFonts w:hint="eastAsia" w:ascii="仿宋_GB2312" w:hAnsi="仿宋_GB2312" w:eastAsia="仿宋_GB2312" w:cs="仿宋_GB2312"/>
                <w:lang w:eastAsia="zh-CN"/>
              </w:rPr>
              <w:t>。</w:t>
            </w:r>
          </w:p>
        </w:tc>
      </w:tr>
    </w:tbl>
    <w:p/>
    <w:sectPr>
      <w:footerReference r:id="rId3" w:type="default"/>
      <w:pgSz w:w="16838" w:h="11906" w:orient="landscape"/>
      <w:pgMar w:top="1440" w:right="1800" w:bottom="1440" w:left="1800" w:header="851"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5C930"/>
    <w:multiLevelType w:val="singleLevel"/>
    <w:tmpl w:val="E8B5C9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NTNlODc2YTIyYzI0YmUwZmI4OGYwODk1MmQ0NTQifQ=="/>
  </w:docVars>
  <w:rsids>
    <w:rsidRoot w:val="00000000"/>
    <w:rsid w:val="00B05D1C"/>
    <w:rsid w:val="00BF186E"/>
    <w:rsid w:val="014B3648"/>
    <w:rsid w:val="01BC17C4"/>
    <w:rsid w:val="01C7132B"/>
    <w:rsid w:val="02C44E0D"/>
    <w:rsid w:val="02E20FEB"/>
    <w:rsid w:val="041D65F8"/>
    <w:rsid w:val="05491101"/>
    <w:rsid w:val="06426038"/>
    <w:rsid w:val="06BC02D5"/>
    <w:rsid w:val="0E5A2DA2"/>
    <w:rsid w:val="0F0B60CB"/>
    <w:rsid w:val="10497E9B"/>
    <w:rsid w:val="111B02EE"/>
    <w:rsid w:val="11AE5263"/>
    <w:rsid w:val="12FF5F51"/>
    <w:rsid w:val="149F7361"/>
    <w:rsid w:val="152844EA"/>
    <w:rsid w:val="15D171CD"/>
    <w:rsid w:val="168626AD"/>
    <w:rsid w:val="175F5C82"/>
    <w:rsid w:val="184B4CB4"/>
    <w:rsid w:val="18534811"/>
    <w:rsid w:val="191B532F"/>
    <w:rsid w:val="193562EE"/>
    <w:rsid w:val="1EC77703"/>
    <w:rsid w:val="1ED73215"/>
    <w:rsid w:val="23364C5C"/>
    <w:rsid w:val="24736EB1"/>
    <w:rsid w:val="26A06E73"/>
    <w:rsid w:val="26B52702"/>
    <w:rsid w:val="27836F3B"/>
    <w:rsid w:val="292E25AD"/>
    <w:rsid w:val="2ACD3FAF"/>
    <w:rsid w:val="2C4E2ECE"/>
    <w:rsid w:val="2D281971"/>
    <w:rsid w:val="2D320A41"/>
    <w:rsid w:val="2E917543"/>
    <w:rsid w:val="2FFA6B1A"/>
    <w:rsid w:val="30B6682D"/>
    <w:rsid w:val="32347BE0"/>
    <w:rsid w:val="33DF0372"/>
    <w:rsid w:val="34436D00"/>
    <w:rsid w:val="36A21BCD"/>
    <w:rsid w:val="396C52DB"/>
    <w:rsid w:val="3A52002D"/>
    <w:rsid w:val="3BC26DD2"/>
    <w:rsid w:val="3D000214"/>
    <w:rsid w:val="3D09367B"/>
    <w:rsid w:val="40195E74"/>
    <w:rsid w:val="40571E21"/>
    <w:rsid w:val="4157061F"/>
    <w:rsid w:val="42284DEF"/>
    <w:rsid w:val="42616889"/>
    <w:rsid w:val="433F136A"/>
    <w:rsid w:val="460743C1"/>
    <w:rsid w:val="48107921"/>
    <w:rsid w:val="481C2063"/>
    <w:rsid w:val="489D5B17"/>
    <w:rsid w:val="49831FB1"/>
    <w:rsid w:val="4A602599"/>
    <w:rsid w:val="4CA87F80"/>
    <w:rsid w:val="4CD82BDF"/>
    <w:rsid w:val="4CE30FE9"/>
    <w:rsid w:val="4E5C69C4"/>
    <w:rsid w:val="4EE2777A"/>
    <w:rsid w:val="500F0A42"/>
    <w:rsid w:val="5012408F"/>
    <w:rsid w:val="50AA13C8"/>
    <w:rsid w:val="531C4443"/>
    <w:rsid w:val="53C25DCC"/>
    <w:rsid w:val="54C86924"/>
    <w:rsid w:val="554859EC"/>
    <w:rsid w:val="562351B1"/>
    <w:rsid w:val="589D654F"/>
    <w:rsid w:val="5B3203DE"/>
    <w:rsid w:val="5DCB3ACF"/>
    <w:rsid w:val="5EB80F5D"/>
    <w:rsid w:val="5F631463"/>
    <w:rsid w:val="60CC2038"/>
    <w:rsid w:val="61A233EB"/>
    <w:rsid w:val="61F335F4"/>
    <w:rsid w:val="625D4071"/>
    <w:rsid w:val="63A66B70"/>
    <w:rsid w:val="657809E0"/>
    <w:rsid w:val="65B03CD6"/>
    <w:rsid w:val="65F55B58"/>
    <w:rsid w:val="6608012B"/>
    <w:rsid w:val="69B875FD"/>
    <w:rsid w:val="6B4D63E1"/>
    <w:rsid w:val="6C787517"/>
    <w:rsid w:val="6D262AD0"/>
    <w:rsid w:val="73F51159"/>
    <w:rsid w:val="747B2F1E"/>
    <w:rsid w:val="74D25407"/>
    <w:rsid w:val="78BF718D"/>
    <w:rsid w:val="79BA116F"/>
    <w:rsid w:val="7A7E03EF"/>
    <w:rsid w:val="7AB4796D"/>
    <w:rsid w:val="7F6C6A68"/>
    <w:rsid w:val="7FB64187"/>
    <w:rsid w:val="FFFDC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654</Words>
  <Characters>776</Characters>
  <Lines>0</Lines>
  <Paragraphs>0</Paragraphs>
  <TotalTime>0</TotalTime>
  <ScaleCrop>false</ScaleCrop>
  <LinksUpToDate>false</LinksUpToDate>
  <CharactersWithSpaces>804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2022-02-14T02:12:00Z</dcterms:created>
  <dc:creator>hp</dc:creator>
  <cp:lastModifiedBy>1⃣2⃣</cp:lastModifiedBy>
  <cp:lastPrinted>2022-12-13T23:23:00Z</cp:lastPrinted>
  <dcterms:modified xsi:type="dcterms:W3CDTF">2022-12-16T02:13:07Z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5D44604D7A4547F7B211FDC0DEC70328</vt:lpwstr>
  </property>
</Properties>
</file>