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1" w:name="_GoBack"/>
      <w:bookmarkEnd w:id="1"/>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4</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东莞市东坑</w:t>
      </w:r>
      <w:r>
        <w:rPr>
          <w:rFonts w:hint="eastAsia" w:ascii="方正小标宋简体" w:hAnsi="方正小标宋简体" w:eastAsia="方正小标宋简体" w:cs="方正小标宋简体"/>
          <w:sz w:val="40"/>
          <w:szCs w:val="40"/>
        </w:rPr>
        <w:t>医院202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招聘</w:t>
      </w:r>
      <w:r>
        <w:rPr>
          <w:rFonts w:hint="eastAsia" w:ascii="方正小标宋简体" w:hAnsi="方正小标宋简体" w:eastAsia="方正小标宋简体" w:cs="方正小标宋简体"/>
          <w:sz w:val="40"/>
          <w:szCs w:val="40"/>
        </w:rPr>
        <w:t>纳入岗位管理的编制外人员岗位表</w:t>
      </w:r>
    </w:p>
    <w:tbl>
      <w:tblPr>
        <w:tblStyle w:val="7"/>
        <w:tblpPr w:leftFromText="180" w:rightFromText="180" w:vertAnchor="page" w:horzAnchor="margin" w:tblpXSpec="center" w:tblpY="2808"/>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重症医学科医师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十级以上</w:t>
            </w:r>
          </w:p>
        </w:tc>
        <w:tc>
          <w:tcPr>
            <w:tcW w:w="812" w:type="dxa"/>
            <w:vAlign w:val="center"/>
          </w:tcPr>
          <w:p>
            <w:pPr>
              <w:spacing w:beforeLines="0" w:afterLines="0"/>
              <w:jc w:val="center"/>
              <w:rPr>
                <w:rFonts w:hint="eastAsia" w:eastAsia="仿宋_GB2312"/>
                <w:sz w:val="24"/>
                <w:lang w:val="en-US" w:eastAsia="zh-CN"/>
              </w:rPr>
            </w:pPr>
            <w:r>
              <w:rPr>
                <w:rFonts w:hint="eastAsia" w:ascii="宋体" w:hAnsi="宋体"/>
                <w:color w:val="000000"/>
                <w:sz w:val="22"/>
              </w:rPr>
              <w:t>001</w:t>
            </w:r>
          </w:p>
        </w:tc>
        <w:tc>
          <w:tcPr>
            <w:tcW w:w="952" w:type="dxa"/>
            <w:vAlign w:val="center"/>
          </w:tcPr>
          <w:p>
            <w:pPr>
              <w:spacing w:beforeLines="0" w:afterLines="0"/>
              <w:jc w:val="center"/>
              <w:rPr>
                <w:rFonts w:hint="eastAsia" w:eastAsia="仿宋_GB2312"/>
                <w:sz w:val="24"/>
                <w:lang w:val="en-US" w:eastAsia="zh-CN"/>
              </w:rPr>
            </w:pPr>
            <w:r>
              <w:rPr>
                <w:rFonts w:hint="eastAsia" w:ascii="宋体" w:hAnsi="宋体"/>
                <w:color w:val="000000"/>
                <w:sz w:val="22"/>
              </w:rPr>
              <w:t>2</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临床医学（B100301)/内科学(A100201)</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主治医师以上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1.年龄为50周岁以下；      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eastAsia="仿宋_GB2312"/>
                <w:sz w:val="24"/>
              </w:rPr>
            </w:pPr>
            <w:r>
              <w:rPr>
                <w:rFonts w:hint="eastAsia" w:ascii="宋体" w:hAnsi="宋体"/>
                <w:color w:val="000000"/>
                <w:sz w:val="22"/>
              </w:rPr>
              <w:t>2</w:t>
            </w:r>
          </w:p>
        </w:tc>
        <w:tc>
          <w:tcPr>
            <w:tcW w:w="1374" w:type="dxa"/>
            <w:vAlign w:val="center"/>
          </w:tcPr>
          <w:p>
            <w:pPr>
              <w:spacing w:beforeLines="0" w:afterLines="0"/>
              <w:jc w:val="center"/>
              <w:rPr>
                <w:rFonts w:eastAsia="仿宋_GB2312"/>
                <w:sz w:val="24"/>
              </w:rPr>
            </w:pPr>
            <w:r>
              <w:rPr>
                <w:rFonts w:hint="eastAsia" w:ascii="宋体" w:hAnsi="宋体"/>
                <w:color w:val="000000"/>
                <w:sz w:val="22"/>
              </w:rPr>
              <w:t>普通外科医师</w:t>
            </w:r>
          </w:p>
        </w:tc>
        <w:tc>
          <w:tcPr>
            <w:tcW w:w="1266" w:type="dxa"/>
            <w:vAlign w:val="center"/>
          </w:tcPr>
          <w:p>
            <w:pPr>
              <w:spacing w:beforeLines="0" w:afterLines="0"/>
              <w:jc w:val="center"/>
              <w:rPr>
                <w:rFonts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eastAsia="仿宋_GB2312"/>
                <w:sz w:val="24"/>
              </w:rPr>
            </w:pPr>
            <w:r>
              <w:rPr>
                <w:rFonts w:hint="eastAsia" w:ascii="宋体" w:hAnsi="宋体"/>
                <w:color w:val="000000"/>
                <w:sz w:val="22"/>
              </w:rPr>
              <w:t>002</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eastAsia="仿宋_GB2312"/>
                <w:sz w:val="24"/>
              </w:rPr>
            </w:pPr>
            <w:r>
              <w:rPr>
                <w:rFonts w:hint="eastAsia" w:ascii="宋体" w:hAnsi="宋体"/>
                <w:color w:val="000000"/>
                <w:sz w:val="22"/>
              </w:rPr>
              <w:t>临床医学（B100301)/外科学(A100210)</w:t>
            </w:r>
          </w:p>
        </w:tc>
        <w:tc>
          <w:tcPr>
            <w:tcW w:w="1701"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1.年龄为35周岁以下；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3</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预防保健科医师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003</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临床医学(B100301)/预防医学（B100701）</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1.年龄为40周岁以下；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4</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放射医师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004</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临床医学(B100301)/放射医学（B100306）/医学影像学(B100303)</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1.年龄为35周岁以下；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5</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儿科医师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005</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临床医学(B100301)/儿科（B100307）/儿科学（A100202）</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1.年龄为35周岁以下；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r>
              <w:rPr>
                <w:rFonts w:hint="eastAsia" w:ascii="宋体" w:hAnsi="宋体"/>
                <w:color w:val="000000"/>
                <w:sz w:val="22"/>
                <w:lang w:val="en-US" w:eastAsia="zh-CN"/>
              </w:rPr>
              <w:t xml:space="preserve">     </w:t>
            </w:r>
            <w:r>
              <w:rPr>
                <w:rFonts w:hint="eastAsia" w:ascii="宋体" w:hAnsi="宋体"/>
                <w:color w:val="000000"/>
                <w:sz w:val="22"/>
              </w:rPr>
              <w:t xml:space="preserve"> 3.已完成住院医师规范化培训。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6</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超声医学科医师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006</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2</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临床医学（B100301)/医学影像学(B100303)</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1.年龄为45周岁以下；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7</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公卫医师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007</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营养与食品卫生学（A100403）</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硕士研究生以上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1.年龄为30周岁以下；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8</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中医科医师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008</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2</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中医学（B100801）/中西医临床医学(B100901)</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医师以上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1.年龄为35周岁以下；</w:t>
            </w:r>
            <w:r>
              <w:rPr>
                <w:rFonts w:hint="eastAsia" w:ascii="宋体" w:hAnsi="宋体"/>
                <w:color w:val="000000"/>
                <w:sz w:val="22"/>
                <w:lang w:val="en-US" w:eastAsia="zh-CN"/>
              </w:rPr>
              <w:t xml:space="preserve">     </w:t>
            </w:r>
            <w:r>
              <w:rPr>
                <w:rFonts w:hint="eastAsia" w:ascii="宋体" w:hAnsi="宋体"/>
                <w:color w:val="000000"/>
                <w:sz w:val="22"/>
              </w:rPr>
              <w:t>2.具有执业医师资格；</w:t>
            </w:r>
            <w:r>
              <w:rPr>
                <w:rFonts w:hint="eastAsia" w:ascii="宋体" w:hAnsi="宋体"/>
                <w:color w:val="000000"/>
                <w:sz w:val="22"/>
                <w:lang w:val="en-US" w:eastAsia="zh-CN"/>
              </w:rPr>
              <w:t xml:space="preserve">     </w:t>
            </w:r>
            <w:r>
              <w:rPr>
                <w:rFonts w:hint="eastAsia" w:ascii="宋体" w:hAnsi="宋体"/>
                <w:color w:val="000000"/>
                <w:sz w:val="22"/>
              </w:rPr>
              <w:t xml:space="preserve"> 3.已完成住院医师规范化培训。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9</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检验科技师</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009</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医学检验技术（B100401）</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技师以上</w:t>
            </w:r>
          </w:p>
        </w:tc>
        <w:tc>
          <w:tcPr>
            <w:tcW w:w="2983" w:type="dxa"/>
            <w:tcBorders>
              <w:bottom w:val="single" w:color="auto" w:sz="4" w:space="0"/>
            </w:tcBorders>
            <w:vAlign w:val="center"/>
          </w:tcPr>
          <w:p>
            <w:pPr>
              <w:spacing w:beforeLines="0" w:afterLines="0"/>
              <w:jc w:val="center"/>
              <w:rPr>
                <w:rFonts w:hint="eastAsia" w:ascii="宋体" w:hAnsi="宋体"/>
                <w:color w:val="000000"/>
                <w:sz w:val="22"/>
              </w:rPr>
            </w:pPr>
            <w:r>
              <w:rPr>
                <w:rFonts w:hint="eastAsia" w:ascii="宋体" w:hAnsi="宋体"/>
                <w:color w:val="000000"/>
                <w:sz w:val="22"/>
              </w:rPr>
              <w:t>1.年龄为40周岁以下；</w:t>
            </w:r>
          </w:p>
          <w:p>
            <w:pPr>
              <w:spacing w:beforeLines="0" w:afterLines="0"/>
              <w:jc w:val="center"/>
              <w:rPr>
                <w:rFonts w:eastAsia="仿宋_GB2312"/>
                <w:sz w:val="24"/>
              </w:rPr>
            </w:pPr>
            <w:r>
              <w:rPr>
                <w:rFonts w:hint="eastAsia" w:ascii="宋体" w:hAnsi="宋体"/>
                <w:color w:val="000000"/>
                <w:sz w:val="22"/>
              </w:rPr>
              <w:t>2.具有医学检验技师以上资格证。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10</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护士</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十三级以上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010</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4</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护理学（B100501）/护理（C100401）</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大专以上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护士以上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 xml:space="preserve">1.年龄为40周岁以下； </w:t>
            </w:r>
            <w:r>
              <w:rPr>
                <w:rFonts w:hint="eastAsia" w:ascii="宋体" w:hAnsi="宋体"/>
                <w:color w:val="000000"/>
                <w:sz w:val="22"/>
                <w:lang w:val="en-US" w:eastAsia="zh-CN"/>
              </w:rPr>
              <w:t xml:space="preserve">   </w:t>
            </w:r>
            <w:r>
              <w:rPr>
                <w:rFonts w:hint="eastAsia" w:ascii="宋体" w:hAnsi="宋体"/>
                <w:color w:val="000000"/>
                <w:sz w:val="22"/>
              </w:rPr>
              <w:t>2.具有护士执业证及工作经验。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12</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财务会计人员</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012</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会计学（B120203）</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助理会计师以上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1.年龄为30周岁以下；</w:t>
            </w:r>
            <w:r>
              <w:rPr>
                <w:rFonts w:hint="eastAsia" w:ascii="宋体" w:hAnsi="宋体"/>
                <w:color w:val="000000"/>
                <w:sz w:val="22"/>
                <w:lang w:val="en-US" w:eastAsia="zh-CN"/>
              </w:rPr>
              <w:t xml:space="preserve">    </w:t>
            </w:r>
            <w:r>
              <w:rPr>
                <w:rFonts w:hint="eastAsia" w:ascii="宋体" w:hAnsi="宋体"/>
                <w:color w:val="000000"/>
                <w:sz w:val="22"/>
              </w:rPr>
              <w:t>2.具有会计资格证及工作经验。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vAlign w:val="center"/>
          </w:tcPr>
          <w:p>
            <w:pPr>
              <w:spacing w:beforeLines="0" w:afterLines="0"/>
              <w:jc w:val="center"/>
              <w:rPr>
                <w:rFonts w:hint="eastAsia" w:eastAsia="仿宋_GB2312"/>
                <w:sz w:val="24"/>
              </w:rPr>
            </w:pPr>
            <w:r>
              <w:rPr>
                <w:rFonts w:hint="eastAsia" w:ascii="宋体" w:hAnsi="宋体"/>
                <w:color w:val="000000"/>
                <w:sz w:val="22"/>
              </w:rPr>
              <w:t>13</w:t>
            </w:r>
          </w:p>
        </w:tc>
        <w:tc>
          <w:tcPr>
            <w:tcW w:w="1374" w:type="dxa"/>
            <w:vAlign w:val="center"/>
          </w:tcPr>
          <w:p>
            <w:pPr>
              <w:spacing w:beforeLines="0" w:afterLines="0"/>
              <w:jc w:val="center"/>
              <w:rPr>
                <w:rFonts w:hint="eastAsia" w:eastAsia="仿宋_GB2312"/>
                <w:sz w:val="24"/>
              </w:rPr>
            </w:pPr>
            <w:r>
              <w:rPr>
                <w:rFonts w:hint="eastAsia" w:ascii="宋体" w:hAnsi="宋体"/>
                <w:color w:val="000000"/>
                <w:sz w:val="22"/>
              </w:rPr>
              <w:t>信息科人员</w:t>
            </w:r>
          </w:p>
        </w:tc>
        <w:tc>
          <w:tcPr>
            <w:tcW w:w="1266" w:type="dxa"/>
            <w:vAlign w:val="center"/>
          </w:tcPr>
          <w:p>
            <w:pPr>
              <w:spacing w:beforeLines="0" w:afterLines="0"/>
              <w:jc w:val="center"/>
              <w:rPr>
                <w:rFonts w:hint="eastAsia" w:eastAsia="仿宋_GB2312"/>
                <w:sz w:val="24"/>
              </w:rPr>
            </w:pPr>
            <w:r>
              <w:rPr>
                <w:rFonts w:hint="eastAsia" w:ascii="宋体" w:hAnsi="宋体"/>
                <w:color w:val="000000"/>
                <w:sz w:val="22"/>
              </w:rPr>
              <w:t>专业技术岗位</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十二级以上</w:t>
            </w:r>
          </w:p>
        </w:tc>
        <w:tc>
          <w:tcPr>
            <w:tcW w:w="812" w:type="dxa"/>
            <w:vAlign w:val="center"/>
          </w:tcPr>
          <w:p>
            <w:pPr>
              <w:spacing w:beforeLines="0" w:afterLines="0"/>
              <w:jc w:val="center"/>
              <w:rPr>
                <w:rFonts w:hint="eastAsia" w:eastAsia="仿宋_GB2312"/>
                <w:sz w:val="24"/>
              </w:rPr>
            </w:pPr>
            <w:r>
              <w:rPr>
                <w:rFonts w:hint="eastAsia" w:ascii="宋体" w:hAnsi="宋体"/>
                <w:color w:val="000000"/>
                <w:sz w:val="22"/>
              </w:rPr>
              <w:t>013</w:t>
            </w:r>
          </w:p>
        </w:tc>
        <w:tc>
          <w:tcPr>
            <w:tcW w:w="952" w:type="dxa"/>
            <w:vAlign w:val="center"/>
          </w:tcPr>
          <w:p>
            <w:pPr>
              <w:spacing w:beforeLines="0" w:afterLines="0"/>
              <w:jc w:val="center"/>
              <w:rPr>
                <w:rFonts w:hint="eastAsia" w:eastAsia="仿宋_GB2312"/>
                <w:sz w:val="24"/>
              </w:rPr>
            </w:pPr>
            <w:r>
              <w:rPr>
                <w:rFonts w:hint="eastAsia" w:ascii="宋体" w:hAnsi="宋体"/>
                <w:color w:val="000000"/>
                <w:sz w:val="22"/>
              </w:rPr>
              <w:t>1</w:t>
            </w:r>
          </w:p>
        </w:tc>
        <w:tc>
          <w:tcPr>
            <w:tcW w:w="2569" w:type="dxa"/>
            <w:vAlign w:val="center"/>
          </w:tcPr>
          <w:p>
            <w:pPr>
              <w:spacing w:beforeLines="0" w:afterLines="0"/>
              <w:jc w:val="center"/>
              <w:rPr>
                <w:rFonts w:hint="eastAsia" w:eastAsia="仿宋_GB2312"/>
                <w:sz w:val="24"/>
              </w:rPr>
            </w:pPr>
            <w:r>
              <w:rPr>
                <w:rFonts w:hint="eastAsia" w:ascii="宋体" w:hAnsi="宋体"/>
                <w:color w:val="000000"/>
                <w:sz w:val="22"/>
              </w:rPr>
              <w:t>医学信息工程（B080711）/信息与计算科学（B070102）</w:t>
            </w:r>
          </w:p>
        </w:tc>
        <w:tc>
          <w:tcPr>
            <w:tcW w:w="1701"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本科以上</w:t>
            </w:r>
          </w:p>
        </w:tc>
        <w:tc>
          <w:tcPr>
            <w:tcW w:w="1843" w:type="dxa"/>
            <w:tcBorders>
              <w:bottom w:val="single" w:color="auto" w:sz="4" w:space="0"/>
            </w:tcBorders>
            <w:vAlign w:val="center"/>
          </w:tcPr>
          <w:p>
            <w:pPr>
              <w:spacing w:beforeLines="0" w:afterLines="0"/>
              <w:jc w:val="center"/>
              <w:rPr>
                <w:rFonts w:hint="eastAsia" w:eastAsia="仿宋_GB2312"/>
                <w:sz w:val="24"/>
              </w:rPr>
            </w:pPr>
            <w:r>
              <w:rPr>
                <w:rFonts w:hint="eastAsia" w:ascii="宋体" w:hAnsi="宋体"/>
                <w:color w:val="000000"/>
                <w:sz w:val="22"/>
              </w:rPr>
              <w:t>信息处理技术员以上</w:t>
            </w:r>
          </w:p>
        </w:tc>
        <w:tc>
          <w:tcPr>
            <w:tcW w:w="2983" w:type="dxa"/>
            <w:tcBorders>
              <w:bottom w:val="single" w:color="auto" w:sz="4" w:space="0"/>
            </w:tcBorders>
            <w:vAlign w:val="center"/>
          </w:tcPr>
          <w:p>
            <w:pPr>
              <w:spacing w:beforeLines="0" w:afterLines="0"/>
              <w:jc w:val="center"/>
              <w:rPr>
                <w:rFonts w:eastAsia="仿宋_GB2312"/>
                <w:sz w:val="24"/>
              </w:rPr>
            </w:pPr>
            <w:r>
              <w:rPr>
                <w:rFonts w:hint="eastAsia" w:ascii="宋体" w:hAnsi="宋体"/>
                <w:color w:val="000000"/>
                <w:sz w:val="22"/>
              </w:rPr>
              <w:t>1.年龄为30周岁以下；</w:t>
            </w:r>
            <w:r>
              <w:rPr>
                <w:rFonts w:hint="eastAsia" w:ascii="宋体" w:hAnsi="宋体"/>
                <w:color w:val="000000"/>
                <w:sz w:val="22"/>
                <w:lang w:val="en-US" w:eastAsia="zh-CN"/>
              </w:rPr>
              <w:t xml:space="preserve">    </w:t>
            </w:r>
            <w:r>
              <w:rPr>
                <w:rFonts w:hint="eastAsia" w:ascii="宋体" w:hAnsi="宋体"/>
                <w:color w:val="000000"/>
                <w:sz w:val="22"/>
              </w:rPr>
              <w:t>2.具有信息处理技术员资格证及工作经验。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sz w:val="24"/>
              </w:rPr>
            </w:pPr>
          </w:p>
        </w:tc>
        <w:tc>
          <w:tcPr>
            <w:tcW w:w="4264" w:type="dxa"/>
            <w:gridSpan w:val="4"/>
            <w:vAlign w:val="center"/>
          </w:tcPr>
          <w:p>
            <w:pPr>
              <w:spacing w:line="340" w:lineRule="exact"/>
              <w:jc w:val="center"/>
              <w:rPr>
                <w:rFonts w:eastAsia="仿宋_GB2312"/>
                <w:sz w:val="24"/>
              </w:rPr>
            </w:pPr>
            <w:r>
              <w:rPr>
                <w:rFonts w:eastAsia="仿宋_GB2312"/>
                <w:sz w:val="24"/>
              </w:rPr>
              <w:t>小计</w:t>
            </w:r>
          </w:p>
        </w:tc>
        <w:tc>
          <w:tcPr>
            <w:tcW w:w="952" w:type="dxa"/>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18</w:t>
            </w:r>
          </w:p>
        </w:tc>
        <w:tc>
          <w:tcPr>
            <w:tcW w:w="9096" w:type="dxa"/>
            <w:gridSpan w:val="4"/>
            <w:vAlign w:val="center"/>
          </w:tcPr>
          <w:p>
            <w:pPr>
              <w:spacing w:line="340" w:lineRule="exact"/>
              <w:jc w:val="center"/>
              <w:rPr>
                <w:rFonts w:eastAsia="仿宋_GB2312"/>
                <w:sz w:val="24"/>
              </w:rPr>
            </w:pPr>
          </w:p>
        </w:tc>
      </w:tr>
    </w:tbl>
    <w:p/>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lang w:val="en-US" w:eastAsia="zh-CN"/>
        </w:rPr>
        <w:t>2022</w:t>
      </w:r>
      <w:r>
        <w:rPr>
          <w:rFonts w:hint="eastAsia" w:ascii="Calibri" w:hAnsi="Calibri" w:eastAsia="宋体" w:cs="Times New Roman"/>
          <w:sz w:val="24"/>
          <w:szCs w:val="24"/>
        </w:rPr>
        <w:t>年</w:t>
      </w:r>
      <w:r>
        <w:rPr>
          <w:rFonts w:hint="eastAsia" w:cs="Times New Roman"/>
          <w:sz w:val="24"/>
          <w:szCs w:val="24"/>
          <w:lang w:val="en-US" w:eastAsia="zh-CN"/>
        </w:rPr>
        <w:t>12</w:t>
      </w:r>
      <w:r>
        <w:rPr>
          <w:rFonts w:hint="eastAsia" w:ascii="Calibri" w:hAnsi="Calibri" w:eastAsia="宋体" w:cs="Times New Roman"/>
          <w:sz w:val="24"/>
          <w:szCs w:val="24"/>
        </w:rPr>
        <w:t>月</w:t>
      </w:r>
      <w:r>
        <w:rPr>
          <w:rFonts w:hint="eastAsia" w:cs="Times New Roman"/>
          <w:sz w:val="24"/>
          <w:szCs w:val="24"/>
          <w:lang w:val="en-US" w:eastAsia="zh-CN"/>
        </w:rPr>
        <w:t>31</w:t>
      </w:r>
      <w:r>
        <w:rPr>
          <w:rFonts w:hint="eastAsia" w:ascii="Calibri" w:hAnsi="Calibri" w:eastAsia="宋体" w:cs="Times New Roman"/>
          <w:sz w:val="24"/>
          <w:szCs w:val="24"/>
        </w:rPr>
        <w:t>日</w:t>
      </w:r>
      <w:r>
        <w:rPr>
          <w:rFonts w:hint="eastAsia" w:eastAsia="宋体" w:cs="Times New Roman"/>
          <w:sz w:val="24"/>
          <w:szCs w:val="24"/>
          <w:lang w:eastAsia="zh-CN"/>
        </w:rPr>
        <w:t>（报名月最后一日）</w:t>
      </w:r>
      <w:r>
        <w:rPr>
          <w:rFonts w:hint="eastAsia" w:ascii="Calibri" w:hAnsi="Calibri" w:eastAsia="宋体" w:cs="Times New Roman"/>
          <w:sz w:val="24"/>
          <w:szCs w:val="24"/>
        </w:rPr>
        <w:t>。</w:t>
      </w:r>
    </w:p>
    <w:p>
      <w:pPr>
        <w:numPr>
          <w:ilvl w:val="0"/>
          <w:numId w:val="1"/>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sectPr>
          <w:footerReference r:id="rId3" w:type="default"/>
          <w:pgSz w:w="16838" w:h="11906" w:orient="landscape"/>
          <w:pgMar w:top="1091" w:right="851" w:bottom="680" w:left="851" w:header="851" w:footer="992" w:gutter="0"/>
          <w:cols w:space="720" w:num="1"/>
          <w:docGrid w:type="lines" w:linePitch="312" w:charSpace="0"/>
        </w:sect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ind w:right="360"/>
      <w:jc w:val="center"/>
      <w:rPr>
        <w:rFonts w:hint="eastAsia"/>
      </w:rPr>
    </w:pPr>
    <w:r>
      <w:fldChar w:fldCharType="begin"/>
    </w:r>
    <w:r>
      <w:rPr>
        <w:rStyle w:val="10"/>
      </w:rPr>
      <w:instrText xml:space="preserve"> PAGE </w:instrText>
    </w:r>
    <w:r>
      <w:fldChar w:fldCharType="separate"/>
    </w:r>
    <w:r>
      <w:rPr>
        <w:rStyle w:val="10"/>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DlmM2ZlNDM3OWUwYjVkNjliMjAxMzRlMzhhOGEifQ=="/>
  </w:docVars>
  <w:rsids>
    <w:rsidRoot w:val="00172A27"/>
    <w:rsid w:val="00132FC4"/>
    <w:rsid w:val="001E2249"/>
    <w:rsid w:val="00656126"/>
    <w:rsid w:val="00730404"/>
    <w:rsid w:val="00791207"/>
    <w:rsid w:val="007F02DE"/>
    <w:rsid w:val="00955588"/>
    <w:rsid w:val="00A53BCF"/>
    <w:rsid w:val="00AC5A57"/>
    <w:rsid w:val="00B8611A"/>
    <w:rsid w:val="00C20B8D"/>
    <w:rsid w:val="00D4052C"/>
    <w:rsid w:val="00EB6A4F"/>
    <w:rsid w:val="00EC431C"/>
    <w:rsid w:val="00F041DC"/>
    <w:rsid w:val="01560496"/>
    <w:rsid w:val="0455548B"/>
    <w:rsid w:val="062D7134"/>
    <w:rsid w:val="07506A90"/>
    <w:rsid w:val="08BF0E65"/>
    <w:rsid w:val="09C038FA"/>
    <w:rsid w:val="0C8B3589"/>
    <w:rsid w:val="0DCC18B3"/>
    <w:rsid w:val="0FD86927"/>
    <w:rsid w:val="10910CBE"/>
    <w:rsid w:val="112A4404"/>
    <w:rsid w:val="13FC2057"/>
    <w:rsid w:val="14BE202B"/>
    <w:rsid w:val="152C379F"/>
    <w:rsid w:val="16C71F67"/>
    <w:rsid w:val="191E1568"/>
    <w:rsid w:val="1D05215B"/>
    <w:rsid w:val="20272D0A"/>
    <w:rsid w:val="207226D8"/>
    <w:rsid w:val="207D5DD5"/>
    <w:rsid w:val="223832DA"/>
    <w:rsid w:val="2565048A"/>
    <w:rsid w:val="26670F24"/>
    <w:rsid w:val="26FD1B8A"/>
    <w:rsid w:val="27A63BFF"/>
    <w:rsid w:val="287A79AA"/>
    <w:rsid w:val="28C56AB6"/>
    <w:rsid w:val="290D739C"/>
    <w:rsid w:val="30B706F1"/>
    <w:rsid w:val="316B612F"/>
    <w:rsid w:val="318A7845"/>
    <w:rsid w:val="39FA3A38"/>
    <w:rsid w:val="3D7E43D9"/>
    <w:rsid w:val="3E254099"/>
    <w:rsid w:val="40185745"/>
    <w:rsid w:val="41EA64FA"/>
    <w:rsid w:val="43CE7BF5"/>
    <w:rsid w:val="45F8077E"/>
    <w:rsid w:val="475233BA"/>
    <w:rsid w:val="480004B0"/>
    <w:rsid w:val="4940409B"/>
    <w:rsid w:val="4A0322E6"/>
    <w:rsid w:val="4CCF47A3"/>
    <w:rsid w:val="4E26446C"/>
    <w:rsid w:val="4FB43E73"/>
    <w:rsid w:val="501441F0"/>
    <w:rsid w:val="50214394"/>
    <w:rsid w:val="510C2366"/>
    <w:rsid w:val="511E19B8"/>
    <w:rsid w:val="51591A69"/>
    <w:rsid w:val="53156CD0"/>
    <w:rsid w:val="53366253"/>
    <w:rsid w:val="58BC74B2"/>
    <w:rsid w:val="5AD752F4"/>
    <w:rsid w:val="5C2A2499"/>
    <w:rsid w:val="5D951920"/>
    <w:rsid w:val="5F8921B3"/>
    <w:rsid w:val="5FEE1F0F"/>
    <w:rsid w:val="61B40CEF"/>
    <w:rsid w:val="677B11BF"/>
    <w:rsid w:val="69FD0F7B"/>
    <w:rsid w:val="6ABB1D58"/>
    <w:rsid w:val="6AE75A9D"/>
    <w:rsid w:val="6FD40466"/>
    <w:rsid w:val="70D4591F"/>
    <w:rsid w:val="716F50AC"/>
    <w:rsid w:val="7199373E"/>
    <w:rsid w:val="71B71727"/>
    <w:rsid w:val="721F5CC8"/>
    <w:rsid w:val="723A477E"/>
    <w:rsid w:val="72511425"/>
    <w:rsid w:val="74DD633C"/>
    <w:rsid w:val="78421876"/>
    <w:rsid w:val="7A027240"/>
    <w:rsid w:val="7AFE33D8"/>
    <w:rsid w:val="7BFDEF2D"/>
    <w:rsid w:val="7CF318D9"/>
    <w:rsid w:val="7F5227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Strong"/>
    <w:basedOn w:val="8"/>
    <w:qFormat/>
    <w:uiPriority w:val="0"/>
    <w:rPr>
      <w:b/>
    </w:rPr>
  </w:style>
  <w:style w:type="character" w:styleId="10">
    <w:name w:val="page number"/>
    <w:qFormat/>
    <w:uiPriority w:val="0"/>
    <w:rPr>
      <w:rFonts w:ascii="Times New Roman" w:hAnsi="Times New Roman" w:eastAsia="宋体" w:cs="Times New Roman"/>
    </w:rPr>
  </w:style>
  <w:style w:type="character" w:customStyle="1" w:styleId="11">
    <w:name w:val=" Char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7722</Words>
  <Characters>8104</Characters>
  <Lines>117</Lines>
  <Paragraphs>33</Paragraphs>
  <TotalTime>7</TotalTime>
  <ScaleCrop>false</ScaleCrop>
  <LinksUpToDate>false</LinksUpToDate>
  <CharactersWithSpaces>8586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1⃣2⃣</cp:lastModifiedBy>
  <cp:lastPrinted>2022-12-08T16:45:00Z</cp:lastPrinted>
  <dcterms:modified xsi:type="dcterms:W3CDTF">2022-12-16T01:44:53Z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FE2E7CA363C84A139D08461797DB3DE7</vt:lpwstr>
  </property>
</Properties>
</file>