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1C0355">
      <w:pPr>
        <w:keepNext w:val="0"/>
        <w:keepLines w:val="0"/>
        <w:pageBreakBefore w:val="0"/>
        <w:widowControl w:val="0"/>
        <w:shd w:val="clear" w:color="auto" w:fill="auto"/>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bookmarkStart w:id="0" w:name="_GoBack"/>
      <w:bookmarkEnd w:id="0"/>
    </w:p>
    <w:p w14:paraId="7AB3AD55">
      <w:pPr>
        <w:keepNext w:val="0"/>
        <w:keepLines w:val="0"/>
        <w:pageBreakBefore w:val="0"/>
        <w:widowControl w:val="0"/>
        <w:shd w:val="clear" w:color="auto" w:fill="auto"/>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color w:val="auto"/>
          <w:sz w:val="44"/>
          <w:szCs w:val="44"/>
          <w:highlight w:val="none"/>
          <w:lang w:val="en-US" w:eastAsia="zh-CN"/>
        </w:rPr>
      </w:pPr>
      <w:r>
        <w:rPr>
          <w:rFonts w:hint="default" w:ascii="Times New Roman" w:hAnsi="Times New Roman" w:eastAsia="方正小标宋简体" w:cs="Times New Roman"/>
          <w:color w:val="auto"/>
          <w:sz w:val="44"/>
          <w:szCs w:val="44"/>
          <w:highlight w:val="none"/>
          <w:lang w:val="en-US" w:eastAsia="zh-CN"/>
        </w:rPr>
        <w:t>雨花区优秀青年人才</w:t>
      </w:r>
      <w:r>
        <w:rPr>
          <w:rFonts w:hint="eastAsia" w:ascii="Times New Roman" w:hAnsi="Times New Roman" w:eastAsia="方正小标宋简体" w:cs="Times New Roman"/>
          <w:color w:val="auto"/>
          <w:sz w:val="44"/>
          <w:szCs w:val="44"/>
          <w:highlight w:val="none"/>
          <w:lang w:val="en-US" w:eastAsia="zh-CN"/>
        </w:rPr>
        <w:t>“</w:t>
      </w:r>
      <w:r>
        <w:rPr>
          <w:rFonts w:hint="default" w:ascii="Times New Roman" w:hAnsi="Times New Roman" w:eastAsia="方正小标宋简体" w:cs="Times New Roman"/>
          <w:color w:val="auto"/>
          <w:sz w:val="44"/>
          <w:szCs w:val="44"/>
          <w:highlight w:val="none"/>
          <w:lang w:val="en-US" w:eastAsia="zh-CN"/>
        </w:rPr>
        <w:t>董事荟</w:t>
      </w:r>
      <w:r>
        <w:rPr>
          <w:rFonts w:hint="eastAsia" w:ascii="Times New Roman" w:hAnsi="Times New Roman" w:eastAsia="方正小标宋简体" w:cs="Times New Roman"/>
          <w:color w:val="auto"/>
          <w:sz w:val="44"/>
          <w:szCs w:val="44"/>
          <w:highlight w:val="none"/>
          <w:lang w:val="en-US" w:eastAsia="zh-CN"/>
        </w:rPr>
        <w:t>”</w:t>
      </w:r>
      <w:r>
        <w:rPr>
          <w:rFonts w:hint="default" w:ascii="Times New Roman" w:hAnsi="Times New Roman" w:eastAsia="方正小标宋简体" w:cs="Times New Roman"/>
          <w:color w:val="auto"/>
          <w:sz w:val="44"/>
          <w:szCs w:val="44"/>
          <w:highlight w:val="none"/>
          <w:lang w:val="en-US" w:eastAsia="zh-CN"/>
        </w:rPr>
        <w:t>成员和</w:t>
      </w:r>
    </w:p>
    <w:p w14:paraId="11F3605D">
      <w:pPr>
        <w:keepNext w:val="0"/>
        <w:keepLines w:val="0"/>
        <w:pageBreakBefore w:val="0"/>
        <w:widowControl w:val="0"/>
        <w:shd w:val="clear" w:color="auto" w:fill="auto"/>
        <w:kinsoku/>
        <w:wordWrap/>
        <w:overflowPunct/>
        <w:topLinePunct w:val="0"/>
        <w:autoSpaceDE/>
        <w:autoSpaceDN/>
        <w:bidi w:val="0"/>
        <w:adjustRightInd/>
        <w:snapToGrid/>
        <w:spacing w:after="157" w:afterLines="50" w:line="700" w:lineRule="exact"/>
        <w:jc w:val="center"/>
        <w:textAlignment w:val="auto"/>
        <w:rPr>
          <w:rFonts w:hint="default" w:ascii="Times New Roman" w:hAnsi="Times New Roman" w:eastAsia="方正小标宋简体" w:cs="Times New Roman"/>
          <w:color w:val="auto"/>
          <w:sz w:val="44"/>
          <w:szCs w:val="44"/>
          <w:highlight w:val="none"/>
          <w:lang w:val="en-US" w:eastAsia="zh-CN"/>
        </w:rPr>
      </w:pPr>
      <w:r>
        <w:rPr>
          <w:rFonts w:hint="default" w:ascii="Times New Roman" w:hAnsi="Times New Roman" w:eastAsia="方正小标宋简体" w:cs="Times New Roman"/>
          <w:color w:val="auto"/>
          <w:sz w:val="44"/>
          <w:szCs w:val="44"/>
          <w:highlight w:val="none"/>
          <w:lang w:val="en-US" w:eastAsia="zh-CN"/>
        </w:rPr>
        <w:t>创业导师考核评分表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9"/>
        <w:gridCol w:w="5850"/>
        <w:gridCol w:w="1616"/>
      </w:tblGrid>
      <w:tr w14:paraId="19DC7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589" w:type="dxa"/>
            <w:noWrap w:val="0"/>
            <w:vAlign w:val="center"/>
          </w:tcPr>
          <w:p w14:paraId="5815ED32">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8"/>
                <w:szCs w:val="28"/>
                <w:highlight w:val="none"/>
                <w:shd w:val="clear" w:color="auto" w:fill="auto"/>
                <w:vertAlign w:val="baseline"/>
                <w:lang w:val="en-US" w:eastAsia="zh-CN"/>
              </w:rPr>
            </w:pPr>
            <w:r>
              <w:rPr>
                <w:rFonts w:hint="default" w:ascii="Times New Roman" w:hAnsi="Times New Roman" w:eastAsia="黑体" w:cs="Times New Roman"/>
                <w:color w:val="auto"/>
                <w:sz w:val="28"/>
                <w:szCs w:val="28"/>
                <w:highlight w:val="none"/>
                <w:shd w:val="clear" w:color="auto" w:fill="auto"/>
                <w:vertAlign w:val="baseline"/>
                <w:lang w:val="en-US" w:eastAsia="zh-CN"/>
              </w:rPr>
              <w:t>项目及</w:t>
            </w:r>
          </w:p>
          <w:p w14:paraId="39911B20">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8"/>
                <w:szCs w:val="28"/>
                <w:highlight w:val="none"/>
                <w:shd w:val="clear" w:color="auto" w:fill="auto"/>
                <w:vertAlign w:val="baseline"/>
                <w:lang w:val="en-US" w:eastAsia="zh-CN"/>
              </w:rPr>
            </w:pPr>
            <w:r>
              <w:rPr>
                <w:rFonts w:hint="default" w:ascii="Times New Roman" w:hAnsi="Times New Roman" w:eastAsia="黑体" w:cs="Times New Roman"/>
                <w:color w:val="auto"/>
                <w:sz w:val="28"/>
                <w:szCs w:val="28"/>
                <w:highlight w:val="none"/>
                <w:shd w:val="clear" w:color="auto" w:fill="auto"/>
                <w:vertAlign w:val="baseline"/>
                <w:lang w:val="en-US" w:eastAsia="zh-CN"/>
              </w:rPr>
              <w:t>分值</w:t>
            </w:r>
          </w:p>
        </w:tc>
        <w:tc>
          <w:tcPr>
            <w:tcW w:w="5850" w:type="dxa"/>
            <w:noWrap w:val="0"/>
            <w:vAlign w:val="center"/>
          </w:tcPr>
          <w:p w14:paraId="1FFF233D">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8"/>
                <w:szCs w:val="28"/>
                <w:highlight w:val="none"/>
                <w:shd w:val="clear" w:color="auto" w:fill="auto"/>
                <w:vertAlign w:val="baseline"/>
                <w:lang w:val="en-US" w:eastAsia="zh-CN"/>
              </w:rPr>
            </w:pPr>
            <w:r>
              <w:rPr>
                <w:rFonts w:hint="default" w:ascii="Times New Roman" w:hAnsi="Times New Roman" w:eastAsia="黑体" w:cs="Times New Roman"/>
                <w:color w:val="auto"/>
                <w:sz w:val="28"/>
                <w:szCs w:val="28"/>
                <w:highlight w:val="none"/>
                <w:shd w:val="clear" w:color="auto" w:fill="auto"/>
                <w:vertAlign w:val="baseline"/>
                <w:lang w:val="en-US" w:eastAsia="zh-CN"/>
              </w:rPr>
              <w:t>具体内容</w:t>
            </w:r>
          </w:p>
        </w:tc>
        <w:tc>
          <w:tcPr>
            <w:tcW w:w="1616" w:type="dxa"/>
            <w:noWrap w:val="0"/>
            <w:vAlign w:val="center"/>
          </w:tcPr>
          <w:p w14:paraId="40A5FAE1">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8"/>
                <w:szCs w:val="28"/>
                <w:highlight w:val="none"/>
                <w:shd w:val="clear" w:color="auto" w:fill="auto"/>
                <w:vertAlign w:val="baseline"/>
                <w:lang w:val="en-US" w:eastAsia="zh-CN"/>
              </w:rPr>
            </w:pPr>
            <w:r>
              <w:rPr>
                <w:rFonts w:hint="default" w:ascii="Times New Roman" w:hAnsi="Times New Roman" w:eastAsia="黑体" w:cs="Times New Roman"/>
                <w:color w:val="auto"/>
                <w:sz w:val="28"/>
                <w:szCs w:val="28"/>
                <w:highlight w:val="none"/>
                <w:shd w:val="clear" w:color="auto" w:fill="auto"/>
                <w:vertAlign w:val="baseline"/>
                <w:lang w:val="en-US" w:eastAsia="zh-CN"/>
              </w:rPr>
              <w:t>分值</w:t>
            </w:r>
          </w:p>
          <w:p w14:paraId="5B515FBD">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8"/>
                <w:szCs w:val="28"/>
                <w:highlight w:val="none"/>
                <w:shd w:val="clear" w:color="auto" w:fill="auto"/>
                <w:vertAlign w:val="baseline"/>
                <w:lang w:val="en-US" w:eastAsia="zh-CN"/>
              </w:rPr>
            </w:pPr>
            <w:r>
              <w:rPr>
                <w:rFonts w:hint="eastAsia" w:ascii="Times New Roman" w:hAnsi="Times New Roman" w:eastAsia="黑体" w:cs="Times New Roman"/>
                <w:color w:val="auto"/>
                <w:sz w:val="28"/>
                <w:szCs w:val="28"/>
                <w:highlight w:val="none"/>
                <w:shd w:val="clear" w:color="auto" w:fill="auto"/>
                <w:vertAlign w:val="baseline"/>
                <w:lang w:val="en-US" w:eastAsia="zh-CN"/>
              </w:rPr>
              <w:t>（</w:t>
            </w:r>
            <w:r>
              <w:rPr>
                <w:rFonts w:hint="default" w:ascii="Times New Roman" w:hAnsi="Times New Roman" w:eastAsia="黑体" w:cs="Times New Roman"/>
                <w:color w:val="auto"/>
                <w:sz w:val="28"/>
                <w:szCs w:val="28"/>
                <w:highlight w:val="none"/>
                <w:shd w:val="clear" w:color="auto" w:fill="auto"/>
                <w:vertAlign w:val="baseline"/>
                <w:lang w:val="en-US" w:eastAsia="zh-CN"/>
              </w:rPr>
              <w:t>100分</w:t>
            </w:r>
            <w:r>
              <w:rPr>
                <w:rFonts w:hint="eastAsia" w:ascii="Times New Roman" w:hAnsi="Times New Roman" w:eastAsia="黑体" w:cs="Times New Roman"/>
                <w:color w:val="auto"/>
                <w:sz w:val="28"/>
                <w:szCs w:val="28"/>
                <w:highlight w:val="none"/>
                <w:shd w:val="clear" w:color="auto" w:fill="auto"/>
                <w:vertAlign w:val="baseline"/>
                <w:lang w:val="en-US" w:eastAsia="zh-CN"/>
              </w:rPr>
              <w:t>）</w:t>
            </w:r>
          </w:p>
        </w:tc>
      </w:tr>
      <w:tr w14:paraId="76434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trPr>
        <w:tc>
          <w:tcPr>
            <w:tcW w:w="1589" w:type="dxa"/>
            <w:vMerge w:val="restart"/>
            <w:noWrap w:val="0"/>
            <w:vAlign w:val="center"/>
          </w:tcPr>
          <w:p w14:paraId="61D83C2F">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b/>
                <w:bCs/>
                <w:color w:val="auto"/>
                <w:sz w:val="28"/>
                <w:szCs w:val="28"/>
                <w:highlight w:val="none"/>
                <w:shd w:val="clear" w:color="auto" w:fill="auto"/>
                <w:lang w:val="en-US" w:eastAsia="zh-CN"/>
              </w:rPr>
            </w:pPr>
            <w:r>
              <w:rPr>
                <w:rFonts w:hint="default" w:ascii="Times New Roman" w:hAnsi="Times New Roman" w:eastAsia="仿宋_GB2312" w:cs="Times New Roman"/>
                <w:b/>
                <w:bCs/>
                <w:color w:val="auto"/>
                <w:sz w:val="28"/>
                <w:szCs w:val="28"/>
                <w:highlight w:val="none"/>
                <w:shd w:val="clear" w:color="auto" w:fill="auto"/>
                <w:lang w:val="en-US" w:eastAsia="zh-CN"/>
              </w:rPr>
              <w:t>帮扶成效</w:t>
            </w:r>
          </w:p>
          <w:p w14:paraId="6086AFBF">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b/>
                <w:bCs/>
                <w:color w:val="auto"/>
                <w:sz w:val="28"/>
                <w:szCs w:val="28"/>
                <w:highlight w:val="none"/>
                <w:shd w:val="clear" w:color="auto" w:fill="auto"/>
                <w:vertAlign w:val="baseline"/>
                <w:lang w:val="en-US" w:eastAsia="zh-CN"/>
              </w:rPr>
            </w:pPr>
            <w:r>
              <w:rPr>
                <w:rFonts w:hint="default" w:ascii="Times New Roman" w:hAnsi="Times New Roman" w:eastAsia="仿宋_GB2312" w:cs="Times New Roman"/>
                <w:b/>
                <w:bCs/>
                <w:color w:val="auto"/>
                <w:sz w:val="28"/>
                <w:szCs w:val="28"/>
                <w:highlight w:val="none"/>
                <w:shd w:val="clear" w:color="auto" w:fill="auto"/>
                <w:lang w:val="en-US" w:eastAsia="zh-CN"/>
              </w:rPr>
              <w:t>（30分）</w:t>
            </w:r>
          </w:p>
        </w:tc>
        <w:tc>
          <w:tcPr>
            <w:tcW w:w="5850" w:type="dxa"/>
            <w:noWrap w:val="0"/>
            <w:vAlign w:val="center"/>
          </w:tcPr>
          <w:p w14:paraId="301F18AC">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8"/>
                <w:szCs w:val="28"/>
                <w:highlight w:val="none"/>
                <w:shd w:val="clear" w:color="auto" w:fill="auto"/>
                <w:vertAlign w:val="baseline"/>
                <w:lang w:val="en-US" w:eastAsia="zh-CN"/>
              </w:rPr>
            </w:pPr>
            <w:r>
              <w:rPr>
                <w:rFonts w:hint="default" w:ascii="Times New Roman" w:hAnsi="Times New Roman" w:eastAsia="仿宋_GB2312" w:cs="Times New Roman"/>
                <w:b/>
                <w:bCs/>
                <w:color w:val="auto"/>
                <w:sz w:val="28"/>
                <w:szCs w:val="28"/>
                <w:highlight w:val="none"/>
                <w:shd w:val="clear" w:color="auto" w:fill="auto"/>
                <w:lang w:val="en-US" w:eastAsia="zh-CN"/>
              </w:rPr>
              <w:t>1．创业成功转化（15分）：</w:t>
            </w:r>
            <w:r>
              <w:rPr>
                <w:rFonts w:hint="default" w:ascii="Times New Roman" w:hAnsi="Times New Roman" w:eastAsia="仿宋_GB2312" w:cs="Times New Roman"/>
                <w:color w:val="auto"/>
                <w:sz w:val="28"/>
                <w:szCs w:val="28"/>
                <w:highlight w:val="none"/>
                <w:shd w:val="clear" w:color="auto" w:fill="auto"/>
                <w:lang w:val="en-US" w:eastAsia="zh-CN"/>
              </w:rPr>
              <w:t>年度内每指导1名创业者或1个创业团队在雨花区成功开办企业并取得营业执照，计3分；带动本地就业，每新增1名社保参保人员计0.1分。此项累计得分不超过15分（需提供营业执照、社保凭证等佐证材料）。</w:t>
            </w:r>
          </w:p>
        </w:tc>
        <w:tc>
          <w:tcPr>
            <w:tcW w:w="1616" w:type="dxa"/>
            <w:noWrap w:val="0"/>
            <w:vAlign w:val="center"/>
          </w:tcPr>
          <w:p w14:paraId="6E65505E">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8"/>
                <w:szCs w:val="28"/>
                <w:highlight w:val="none"/>
                <w:shd w:val="clear" w:color="auto" w:fill="auto"/>
                <w:vertAlign w:val="baseline"/>
                <w:lang w:val="en-US" w:eastAsia="zh-CN"/>
              </w:rPr>
            </w:pPr>
            <w:r>
              <w:rPr>
                <w:rFonts w:hint="default" w:ascii="Times New Roman" w:hAnsi="Times New Roman" w:eastAsia="仿宋_GB2312" w:cs="Times New Roman"/>
                <w:color w:val="auto"/>
                <w:sz w:val="28"/>
                <w:szCs w:val="28"/>
                <w:highlight w:val="none"/>
                <w:shd w:val="clear" w:color="auto" w:fill="auto"/>
                <w:vertAlign w:val="baseline"/>
                <w:lang w:val="en-US" w:eastAsia="zh-CN"/>
              </w:rPr>
              <w:t>15分</w:t>
            </w:r>
          </w:p>
        </w:tc>
      </w:tr>
      <w:tr w14:paraId="0A806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0" w:hRule="atLeast"/>
        </w:trPr>
        <w:tc>
          <w:tcPr>
            <w:tcW w:w="1589" w:type="dxa"/>
            <w:vMerge w:val="continue"/>
            <w:noWrap w:val="0"/>
            <w:vAlign w:val="center"/>
          </w:tcPr>
          <w:p w14:paraId="533004D7">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b/>
                <w:bCs/>
                <w:color w:val="auto"/>
                <w:sz w:val="28"/>
                <w:szCs w:val="28"/>
                <w:highlight w:val="none"/>
                <w:shd w:val="clear" w:color="auto" w:fill="auto"/>
                <w:vertAlign w:val="baseline"/>
                <w:lang w:val="en-US" w:eastAsia="zh-CN"/>
              </w:rPr>
            </w:pPr>
          </w:p>
        </w:tc>
        <w:tc>
          <w:tcPr>
            <w:tcW w:w="5850" w:type="dxa"/>
            <w:noWrap w:val="0"/>
            <w:vAlign w:val="center"/>
          </w:tcPr>
          <w:p w14:paraId="0E34925A">
            <w:pPr>
              <w:keepNext w:val="0"/>
              <w:keepLines w:val="0"/>
              <w:pageBreakBefore w:val="0"/>
              <w:widowControl w:val="0"/>
              <w:shd w:val="clear" w:color="auto" w:fill="auto"/>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color w:val="auto"/>
                <w:sz w:val="28"/>
                <w:szCs w:val="28"/>
                <w:highlight w:val="none"/>
                <w:shd w:val="clear" w:color="auto" w:fill="auto"/>
                <w:vertAlign w:val="baseline"/>
                <w:lang w:val="en-US" w:eastAsia="zh-CN"/>
              </w:rPr>
            </w:pPr>
            <w:r>
              <w:rPr>
                <w:rFonts w:hint="default" w:ascii="Times New Roman" w:hAnsi="Times New Roman" w:eastAsia="仿宋_GB2312" w:cs="Times New Roman"/>
                <w:b/>
                <w:bCs/>
                <w:color w:val="auto"/>
                <w:sz w:val="28"/>
                <w:szCs w:val="28"/>
                <w:highlight w:val="none"/>
                <w:shd w:val="clear" w:color="auto" w:fill="auto"/>
                <w:lang w:val="en-US" w:eastAsia="zh-CN"/>
              </w:rPr>
              <w:t>2．企业发展质量（15分）：</w:t>
            </w:r>
            <w:r>
              <w:rPr>
                <w:rFonts w:hint="default" w:ascii="Times New Roman" w:hAnsi="Times New Roman" w:eastAsia="仿宋_GB2312" w:cs="Times New Roman"/>
                <w:color w:val="auto"/>
                <w:sz w:val="28"/>
                <w:szCs w:val="28"/>
                <w:highlight w:val="none"/>
                <w:shd w:val="clear" w:color="auto" w:fill="auto"/>
                <w:lang w:val="en-US" w:eastAsia="zh-CN"/>
              </w:rPr>
              <w:t>指导的企业年度内实现营收增长的，按每1家增长企业计0.5分；指导的企业年度内实现纳税30万元及以上的，按每1家企业计3分；指导的企业（团队）年度内获评各级创新创业大赛奖励的，按每1家企业（团队）计3分；指导的企业（团队）年度内获得投融资支持的，按每1家（团队）企业计4分。此项累计得分不超过15分。（需提供营收证明、纳税证明、获奖证书、融资协议或金融机构打款凭证等佐证材料。）</w:t>
            </w:r>
          </w:p>
        </w:tc>
        <w:tc>
          <w:tcPr>
            <w:tcW w:w="1616" w:type="dxa"/>
            <w:noWrap w:val="0"/>
            <w:vAlign w:val="center"/>
          </w:tcPr>
          <w:p w14:paraId="4BC406FD">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8"/>
                <w:szCs w:val="28"/>
                <w:highlight w:val="none"/>
                <w:shd w:val="clear" w:color="auto" w:fill="auto"/>
                <w:vertAlign w:val="baseline"/>
                <w:lang w:val="en-US" w:eastAsia="zh-CN"/>
              </w:rPr>
            </w:pPr>
            <w:r>
              <w:rPr>
                <w:rFonts w:hint="default" w:ascii="Times New Roman" w:hAnsi="Times New Roman" w:eastAsia="仿宋_GB2312" w:cs="Times New Roman"/>
                <w:color w:val="auto"/>
                <w:sz w:val="28"/>
                <w:szCs w:val="28"/>
                <w:highlight w:val="none"/>
                <w:shd w:val="clear" w:color="auto" w:fill="auto"/>
                <w:vertAlign w:val="baseline"/>
                <w:lang w:val="en-US" w:eastAsia="zh-CN"/>
              </w:rPr>
              <w:t>15分</w:t>
            </w:r>
          </w:p>
        </w:tc>
      </w:tr>
      <w:tr w14:paraId="59FA0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3" w:hRule="atLeast"/>
        </w:trPr>
        <w:tc>
          <w:tcPr>
            <w:tcW w:w="1589" w:type="dxa"/>
            <w:vMerge w:val="restart"/>
            <w:noWrap w:val="0"/>
            <w:vAlign w:val="center"/>
          </w:tcPr>
          <w:p w14:paraId="1F1C78DC">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b/>
                <w:bCs/>
                <w:color w:val="auto"/>
                <w:sz w:val="28"/>
                <w:szCs w:val="28"/>
                <w:highlight w:val="none"/>
                <w:shd w:val="clear" w:color="auto" w:fill="auto"/>
                <w:lang w:val="en-US" w:eastAsia="zh-CN"/>
              </w:rPr>
            </w:pPr>
            <w:r>
              <w:rPr>
                <w:rFonts w:hint="default" w:ascii="Times New Roman" w:hAnsi="Times New Roman" w:eastAsia="仿宋_GB2312" w:cs="Times New Roman"/>
                <w:b/>
                <w:bCs/>
                <w:color w:val="auto"/>
                <w:sz w:val="28"/>
                <w:szCs w:val="28"/>
                <w:highlight w:val="none"/>
                <w:shd w:val="clear" w:color="auto" w:fill="auto"/>
                <w:lang w:val="en-US" w:eastAsia="zh-CN"/>
              </w:rPr>
              <w:t>工作实绩（40分）</w:t>
            </w:r>
          </w:p>
        </w:tc>
        <w:tc>
          <w:tcPr>
            <w:tcW w:w="5850" w:type="dxa"/>
            <w:noWrap w:val="0"/>
            <w:vAlign w:val="center"/>
          </w:tcPr>
          <w:p w14:paraId="21666F7A">
            <w:pPr>
              <w:keepNext w:val="0"/>
              <w:keepLines w:val="0"/>
              <w:pageBreakBefore w:val="0"/>
              <w:widowControl w:val="0"/>
              <w:shd w:val="clear" w:color="auto" w:fill="auto"/>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b/>
                <w:bCs/>
                <w:color w:val="auto"/>
                <w:sz w:val="28"/>
                <w:szCs w:val="28"/>
                <w:highlight w:val="none"/>
                <w:shd w:val="clear" w:color="auto" w:fill="auto"/>
                <w:lang w:val="en-US" w:eastAsia="zh-CN"/>
              </w:rPr>
            </w:pPr>
            <w:r>
              <w:rPr>
                <w:rFonts w:hint="default" w:ascii="Times New Roman" w:hAnsi="Times New Roman" w:eastAsia="仿宋_GB2312" w:cs="Times New Roman"/>
                <w:b/>
                <w:bCs/>
                <w:color w:val="auto"/>
                <w:sz w:val="28"/>
                <w:szCs w:val="28"/>
                <w:highlight w:val="none"/>
                <w:shd w:val="clear" w:color="auto" w:fill="auto"/>
                <w:lang w:val="en-US" w:eastAsia="zh-CN"/>
              </w:rPr>
              <w:t>1．精准指导规模（16分）：</w:t>
            </w:r>
            <w:r>
              <w:rPr>
                <w:rFonts w:hint="default" w:ascii="Times New Roman" w:hAnsi="Times New Roman" w:eastAsia="仿宋_GB2312" w:cs="Times New Roman"/>
                <w:b w:val="0"/>
                <w:bCs w:val="0"/>
                <w:color w:val="auto"/>
                <w:sz w:val="28"/>
                <w:szCs w:val="28"/>
                <w:highlight w:val="none"/>
                <w:shd w:val="clear" w:color="auto" w:fill="auto"/>
                <w:lang w:val="en-US" w:eastAsia="zh-CN"/>
              </w:rPr>
              <w:t>年度内</w:t>
            </w:r>
            <w:r>
              <w:rPr>
                <w:rFonts w:hint="default" w:ascii="Times New Roman" w:hAnsi="Times New Roman" w:eastAsia="仿宋_GB2312" w:cs="Times New Roman"/>
                <w:color w:val="auto"/>
                <w:sz w:val="28"/>
                <w:szCs w:val="28"/>
                <w:highlight w:val="none"/>
                <w:shd w:val="clear" w:color="auto" w:fill="auto"/>
                <w:lang w:val="en-US" w:eastAsia="zh-CN"/>
              </w:rPr>
              <w:t>为有创业意愿或创业未满3年的雨花区创业者提供</w:t>
            </w:r>
            <w:r>
              <w:rPr>
                <w:rFonts w:hint="eastAsia" w:ascii="Times New Roman" w:hAnsi="Times New Roman" w:eastAsia="仿宋_GB2312" w:cs="Times New Roman"/>
                <w:color w:val="auto"/>
                <w:sz w:val="28"/>
                <w:szCs w:val="28"/>
                <w:highlight w:val="none"/>
                <w:shd w:val="clear" w:color="auto" w:fill="auto"/>
                <w:lang w:val="en-US" w:eastAsia="zh-CN"/>
              </w:rPr>
              <w:t>“</w:t>
            </w:r>
            <w:r>
              <w:rPr>
                <w:rFonts w:hint="default" w:ascii="Times New Roman" w:hAnsi="Times New Roman" w:eastAsia="仿宋_GB2312" w:cs="Times New Roman"/>
                <w:color w:val="auto"/>
                <w:sz w:val="28"/>
                <w:szCs w:val="28"/>
                <w:highlight w:val="none"/>
                <w:shd w:val="clear" w:color="auto" w:fill="auto"/>
                <w:lang w:val="en-US" w:eastAsia="zh-CN"/>
              </w:rPr>
              <w:t>一对一</w:t>
            </w:r>
            <w:r>
              <w:rPr>
                <w:rFonts w:hint="eastAsia" w:ascii="Times New Roman" w:hAnsi="Times New Roman" w:eastAsia="仿宋_GB2312" w:cs="Times New Roman"/>
                <w:color w:val="auto"/>
                <w:sz w:val="28"/>
                <w:szCs w:val="28"/>
                <w:highlight w:val="none"/>
                <w:shd w:val="clear" w:color="auto" w:fill="auto"/>
                <w:lang w:val="en-US" w:eastAsia="zh-CN"/>
              </w:rPr>
              <w:t>”</w:t>
            </w:r>
            <w:r>
              <w:rPr>
                <w:rFonts w:hint="default" w:ascii="Times New Roman" w:hAnsi="Times New Roman" w:eastAsia="仿宋_GB2312" w:cs="Times New Roman"/>
                <w:color w:val="auto"/>
                <w:sz w:val="28"/>
                <w:szCs w:val="28"/>
                <w:highlight w:val="none"/>
                <w:shd w:val="clear" w:color="auto" w:fill="auto"/>
                <w:lang w:val="en-US" w:eastAsia="zh-CN"/>
              </w:rPr>
              <w:t>咨询指导，内容包括商业模式优化、市场拓展、项目策划、开业指导等，服务人数满10人</w:t>
            </w:r>
            <w:r>
              <w:rPr>
                <w:rFonts w:hint="default" w:ascii="Times New Roman" w:hAnsi="Times New Roman" w:eastAsia="仿宋_GB2312" w:cs="Times New Roman"/>
                <w:color w:val="auto"/>
                <w:spacing w:val="-6"/>
                <w:sz w:val="28"/>
                <w:szCs w:val="28"/>
                <w:highlight w:val="none"/>
                <w:shd w:val="clear" w:color="auto" w:fill="auto"/>
                <w:lang w:val="en-US" w:eastAsia="zh-CN"/>
              </w:rPr>
              <w:t>得5分，满20人得10分；超过20人的部分，每增加1人加0.5分。此项累计得分不超过16分。</w:t>
            </w:r>
          </w:p>
        </w:tc>
        <w:tc>
          <w:tcPr>
            <w:tcW w:w="1616" w:type="dxa"/>
            <w:noWrap w:val="0"/>
            <w:vAlign w:val="center"/>
          </w:tcPr>
          <w:p w14:paraId="2D3473C6">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8"/>
                <w:szCs w:val="28"/>
                <w:highlight w:val="none"/>
                <w:shd w:val="clear" w:color="auto" w:fill="auto"/>
                <w:vertAlign w:val="baseline"/>
                <w:lang w:val="en-US" w:eastAsia="zh-CN"/>
              </w:rPr>
            </w:pPr>
            <w:r>
              <w:rPr>
                <w:rFonts w:hint="default" w:ascii="Times New Roman" w:hAnsi="Times New Roman" w:eastAsia="仿宋_GB2312" w:cs="Times New Roman"/>
                <w:color w:val="auto"/>
                <w:sz w:val="28"/>
                <w:szCs w:val="28"/>
                <w:highlight w:val="none"/>
                <w:shd w:val="clear" w:color="auto" w:fill="auto"/>
                <w:vertAlign w:val="baseline"/>
                <w:lang w:val="en-US" w:eastAsia="zh-CN"/>
              </w:rPr>
              <w:t>16分</w:t>
            </w:r>
          </w:p>
        </w:tc>
      </w:tr>
      <w:tr w14:paraId="36313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1589" w:type="dxa"/>
            <w:vMerge w:val="continue"/>
            <w:noWrap w:val="0"/>
            <w:vAlign w:val="center"/>
          </w:tcPr>
          <w:p w14:paraId="59F9AAC9">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auto"/>
                <w:sz w:val="28"/>
                <w:szCs w:val="28"/>
                <w:highlight w:val="none"/>
                <w:shd w:val="clear" w:color="auto" w:fill="auto"/>
                <w:lang w:val="en-US" w:eastAsia="zh-CN"/>
              </w:rPr>
            </w:pPr>
          </w:p>
        </w:tc>
        <w:tc>
          <w:tcPr>
            <w:tcW w:w="5850" w:type="dxa"/>
            <w:noWrap w:val="0"/>
            <w:vAlign w:val="center"/>
          </w:tcPr>
          <w:p w14:paraId="2B786F72">
            <w:pPr>
              <w:keepNext w:val="0"/>
              <w:keepLines w:val="0"/>
              <w:pageBreakBefore w:val="0"/>
              <w:widowControl w:val="0"/>
              <w:shd w:val="clear" w:color="auto" w:fill="auto"/>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color w:val="auto"/>
                <w:sz w:val="28"/>
                <w:szCs w:val="28"/>
                <w:highlight w:val="none"/>
                <w:shd w:val="clear" w:color="auto" w:fill="auto"/>
                <w:lang w:val="en-US" w:eastAsia="zh-CN"/>
              </w:rPr>
            </w:pPr>
            <w:r>
              <w:rPr>
                <w:rFonts w:hint="default" w:ascii="Times New Roman" w:hAnsi="Times New Roman" w:eastAsia="仿宋_GB2312" w:cs="Times New Roman"/>
                <w:b/>
                <w:bCs/>
                <w:color w:val="auto"/>
                <w:sz w:val="28"/>
                <w:szCs w:val="28"/>
                <w:highlight w:val="none"/>
                <w:shd w:val="clear" w:color="auto" w:fill="auto"/>
                <w:lang w:val="en-US" w:eastAsia="zh-CN"/>
              </w:rPr>
              <w:t>2．服务协议签订（8分）：</w:t>
            </w:r>
            <w:r>
              <w:rPr>
                <w:rFonts w:hint="default" w:ascii="Times New Roman" w:hAnsi="Times New Roman" w:eastAsia="仿宋_GB2312" w:cs="Times New Roman"/>
                <w:b w:val="0"/>
                <w:bCs w:val="0"/>
                <w:color w:val="auto"/>
                <w:sz w:val="28"/>
                <w:szCs w:val="28"/>
                <w:highlight w:val="none"/>
                <w:shd w:val="clear" w:color="auto" w:fill="auto"/>
                <w:lang w:val="en-US" w:eastAsia="zh-CN"/>
              </w:rPr>
              <w:t>年度内</w:t>
            </w:r>
            <w:r>
              <w:rPr>
                <w:rFonts w:hint="default" w:ascii="Times New Roman" w:hAnsi="Times New Roman" w:eastAsia="仿宋_GB2312" w:cs="Times New Roman"/>
                <w:color w:val="auto"/>
                <w:sz w:val="28"/>
                <w:szCs w:val="28"/>
                <w:highlight w:val="none"/>
                <w:shd w:val="clear" w:color="auto" w:fill="auto"/>
                <w:lang w:val="en-US" w:eastAsia="zh-CN"/>
              </w:rPr>
              <w:t>每与1名创业者签订1年及以上规范指导服务协议得1分。此项累计得分不超过8分。</w:t>
            </w:r>
          </w:p>
        </w:tc>
        <w:tc>
          <w:tcPr>
            <w:tcW w:w="1616" w:type="dxa"/>
            <w:noWrap w:val="0"/>
            <w:vAlign w:val="center"/>
          </w:tcPr>
          <w:p w14:paraId="3BF36836">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8"/>
                <w:szCs w:val="28"/>
                <w:highlight w:val="none"/>
                <w:shd w:val="clear" w:color="auto" w:fill="auto"/>
                <w:vertAlign w:val="baseline"/>
                <w:lang w:val="en-US" w:eastAsia="zh-CN"/>
              </w:rPr>
            </w:pPr>
            <w:r>
              <w:rPr>
                <w:rFonts w:hint="default" w:ascii="Times New Roman" w:hAnsi="Times New Roman" w:eastAsia="仿宋_GB2312" w:cs="Times New Roman"/>
                <w:color w:val="auto"/>
                <w:sz w:val="28"/>
                <w:szCs w:val="28"/>
                <w:highlight w:val="none"/>
                <w:shd w:val="clear" w:color="auto" w:fill="auto"/>
                <w:vertAlign w:val="baseline"/>
                <w:lang w:val="en-US" w:eastAsia="zh-CN"/>
              </w:rPr>
              <w:t>8分</w:t>
            </w:r>
          </w:p>
        </w:tc>
      </w:tr>
      <w:tr w14:paraId="7965F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5" w:hRule="atLeast"/>
        </w:trPr>
        <w:tc>
          <w:tcPr>
            <w:tcW w:w="1589" w:type="dxa"/>
            <w:noWrap w:val="0"/>
            <w:vAlign w:val="center"/>
          </w:tcPr>
          <w:p w14:paraId="5AE08DFB">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b/>
                <w:bCs/>
                <w:color w:val="auto"/>
                <w:sz w:val="28"/>
                <w:szCs w:val="28"/>
                <w:highlight w:val="none"/>
                <w:shd w:val="clear" w:color="auto" w:fill="auto"/>
                <w:lang w:val="en-US" w:eastAsia="zh-CN"/>
              </w:rPr>
            </w:pPr>
            <w:r>
              <w:rPr>
                <w:rFonts w:hint="default" w:ascii="Times New Roman" w:hAnsi="Times New Roman" w:eastAsia="仿宋_GB2312" w:cs="Times New Roman"/>
                <w:b/>
                <w:bCs/>
                <w:color w:val="auto"/>
                <w:sz w:val="28"/>
                <w:szCs w:val="28"/>
                <w:highlight w:val="none"/>
                <w:shd w:val="clear" w:color="auto" w:fill="auto"/>
                <w:lang w:val="en-US" w:eastAsia="zh-CN"/>
              </w:rPr>
              <w:t>工作实绩（40分）</w:t>
            </w:r>
          </w:p>
        </w:tc>
        <w:tc>
          <w:tcPr>
            <w:tcW w:w="5850" w:type="dxa"/>
            <w:noWrap w:val="0"/>
            <w:vAlign w:val="center"/>
          </w:tcPr>
          <w:p w14:paraId="787A9C27">
            <w:pPr>
              <w:keepNext w:val="0"/>
              <w:keepLines w:val="0"/>
              <w:pageBreakBefore w:val="0"/>
              <w:widowControl w:val="0"/>
              <w:shd w:val="clear" w:color="auto" w:fill="auto"/>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color w:val="auto"/>
                <w:sz w:val="28"/>
                <w:szCs w:val="28"/>
                <w:highlight w:val="none"/>
                <w:shd w:val="clear" w:color="auto" w:fill="auto"/>
                <w:lang w:val="en-US" w:eastAsia="zh-CN"/>
              </w:rPr>
            </w:pPr>
            <w:r>
              <w:rPr>
                <w:rFonts w:hint="default" w:ascii="Times New Roman" w:hAnsi="Times New Roman" w:eastAsia="仿宋_GB2312" w:cs="Times New Roman"/>
                <w:b/>
                <w:bCs/>
                <w:color w:val="auto"/>
                <w:sz w:val="28"/>
                <w:szCs w:val="28"/>
                <w:highlight w:val="none"/>
                <w:shd w:val="clear" w:color="auto" w:fill="auto"/>
                <w:lang w:val="en-US" w:eastAsia="zh-CN"/>
              </w:rPr>
              <w:t>3．公益活动参与（16分）：</w:t>
            </w:r>
            <w:r>
              <w:rPr>
                <w:rFonts w:hint="default" w:ascii="Times New Roman" w:hAnsi="Times New Roman" w:eastAsia="仿宋_GB2312" w:cs="Times New Roman"/>
                <w:b w:val="0"/>
                <w:bCs w:val="0"/>
                <w:color w:val="auto"/>
                <w:sz w:val="28"/>
                <w:szCs w:val="28"/>
                <w:highlight w:val="none"/>
                <w:shd w:val="clear" w:color="auto" w:fill="auto"/>
                <w:lang w:val="en-US" w:eastAsia="zh-CN"/>
              </w:rPr>
              <w:t>年度内在雨花区</w:t>
            </w:r>
            <w:r>
              <w:rPr>
                <w:rFonts w:hint="default" w:ascii="Times New Roman" w:hAnsi="Times New Roman" w:eastAsia="仿宋_GB2312" w:cs="Times New Roman"/>
                <w:color w:val="auto"/>
                <w:sz w:val="28"/>
                <w:szCs w:val="28"/>
                <w:highlight w:val="none"/>
                <w:shd w:val="clear" w:color="auto" w:fill="auto"/>
                <w:lang w:val="en-US" w:eastAsia="zh-CN"/>
              </w:rPr>
              <w:t>组织开展创业培训或导师讲堂等公益性活动少于4场得4分，4场及以上得6分，每增加1场加2分；积极参与由雨花区辖区内政府部门、高校、行业协会或经备案的机构组织的创业大赛、创业授课、创业宣讲等公益性创业服务活动，参与</w:t>
            </w:r>
            <w:r>
              <w:rPr>
                <w:rFonts w:hint="eastAsia" w:ascii="Times New Roman" w:hAnsi="Times New Roman" w:eastAsia="仿宋_GB2312" w:cs="Times New Roman"/>
                <w:color w:val="auto"/>
                <w:sz w:val="28"/>
                <w:szCs w:val="28"/>
                <w:highlight w:val="none"/>
                <w:shd w:val="clear" w:color="auto" w:fill="auto"/>
                <w:lang w:val="en-US" w:eastAsia="zh-CN"/>
              </w:rPr>
              <w:t>1</w:t>
            </w:r>
            <w:r>
              <w:rPr>
                <w:rFonts w:hint="default" w:ascii="Times New Roman" w:hAnsi="Times New Roman" w:eastAsia="仿宋_GB2312" w:cs="Times New Roman"/>
                <w:color w:val="auto"/>
                <w:sz w:val="28"/>
                <w:szCs w:val="28"/>
                <w:highlight w:val="none"/>
                <w:shd w:val="clear" w:color="auto" w:fill="auto"/>
                <w:lang w:val="en-US" w:eastAsia="zh-CN"/>
              </w:rPr>
              <w:t>场额外再计2分。此项累计得分不超过16分（需提供主办方出具的证明材料）。</w:t>
            </w:r>
          </w:p>
        </w:tc>
        <w:tc>
          <w:tcPr>
            <w:tcW w:w="1616" w:type="dxa"/>
            <w:noWrap w:val="0"/>
            <w:vAlign w:val="center"/>
          </w:tcPr>
          <w:p w14:paraId="33FB93FF">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8"/>
                <w:szCs w:val="28"/>
                <w:highlight w:val="none"/>
                <w:shd w:val="clear" w:color="auto" w:fill="auto"/>
                <w:vertAlign w:val="baseline"/>
                <w:lang w:val="en-US" w:eastAsia="zh-CN"/>
              </w:rPr>
            </w:pPr>
            <w:r>
              <w:rPr>
                <w:rFonts w:hint="default" w:ascii="Times New Roman" w:hAnsi="Times New Roman" w:eastAsia="仿宋_GB2312" w:cs="Times New Roman"/>
                <w:color w:val="auto"/>
                <w:sz w:val="28"/>
                <w:szCs w:val="28"/>
                <w:highlight w:val="none"/>
                <w:shd w:val="clear" w:color="auto" w:fill="auto"/>
                <w:vertAlign w:val="baseline"/>
                <w:lang w:val="en-US" w:eastAsia="zh-CN"/>
              </w:rPr>
              <w:t>16分</w:t>
            </w:r>
          </w:p>
        </w:tc>
      </w:tr>
      <w:tr w14:paraId="6BDF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6" w:hRule="atLeast"/>
        </w:trPr>
        <w:tc>
          <w:tcPr>
            <w:tcW w:w="1589" w:type="dxa"/>
            <w:vMerge w:val="restart"/>
            <w:noWrap w:val="0"/>
            <w:vAlign w:val="center"/>
          </w:tcPr>
          <w:p w14:paraId="597CCB99">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b/>
                <w:bCs/>
                <w:color w:val="auto"/>
                <w:sz w:val="28"/>
                <w:szCs w:val="28"/>
                <w:highlight w:val="none"/>
                <w:shd w:val="clear" w:color="auto" w:fill="auto"/>
                <w:lang w:val="en-US" w:eastAsia="zh-CN"/>
              </w:rPr>
            </w:pPr>
            <w:r>
              <w:rPr>
                <w:rFonts w:hint="default" w:ascii="Times New Roman" w:hAnsi="Times New Roman" w:eastAsia="仿宋_GB2312" w:cs="Times New Roman"/>
                <w:b/>
                <w:bCs/>
                <w:color w:val="auto"/>
                <w:sz w:val="28"/>
                <w:szCs w:val="28"/>
                <w:highlight w:val="none"/>
                <w:shd w:val="clear" w:color="auto" w:fill="auto"/>
                <w:lang w:val="en-US" w:eastAsia="zh-CN"/>
              </w:rPr>
              <w:t>专业能力（20分）</w:t>
            </w:r>
          </w:p>
        </w:tc>
        <w:tc>
          <w:tcPr>
            <w:tcW w:w="5850" w:type="dxa"/>
            <w:noWrap w:val="0"/>
            <w:vAlign w:val="center"/>
          </w:tcPr>
          <w:p w14:paraId="7F7E3432">
            <w:pPr>
              <w:keepNext w:val="0"/>
              <w:keepLines w:val="0"/>
              <w:pageBreakBefore w:val="0"/>
              <w:widowControl w:val="0"/>
              <w:shd w:val="clear" w:color="auto" w:fill="auto"/>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color w:val="auto"/>
                <w:sz w:val="28"/>
                <w:szCs w:val="28"/>
                <w:highlight w:val="none"/>
                <w:shd w:val="clear" w:color="auto" w:fill="auto"/>
                <w:lang w:val="en-US" w:eastAsia="zh-CN"/>
              </w:rPr>
            </w:pPr>
            <w:r>
              <w:rPr>
                <w:rFonts w:hint="default" w:ascii="Times New Roman" w:hAnsi="Times New Roman" w:eastAsia="仿宋_GB2312" w:cs="Times New Roman"/>
                <w:b/>
                <w:bCs/>
                <w:color w:val="auto"/>
                <w:sz w:val="28"/>
                <w:szCs w:val="28"/>
                <w:highlight w:val="none"/>
                <w:shd w:val="clear" w:color="auto" w:fill="auto"/>
                <w:lang w:val="en-US" w:eastAsia="zh-CN"/>
              </w:rPr>
              <w:t>1．专业服务口碑（15分）：</w:t>
            </w:r>
            <w:r>
              <w:rPr>
                <w:rFonts w:hint="default" w:ascii="Times New Roman" w:hAnsi="Times New Roman" w:eastAsia="仿宋_GB2312" w:cs="Times New Roman"/>
                <w:b w:val="0"/>
                <w:bCs w:val="0"/>
                <w:color w:val="auto"/>
                <w:sz w:val="28"/>
                <w:szCs w:val="28"/>
                <w:highlight w:val="none"/>
                <w:shd w:val="clear" w:color="auto" w:fill="auto"/>
                <w:lang w:val="en-US" w:eastAsia="zh-CN"/>
              </w:rPr>
              <w:t>年度内</w:t>
            </w:r>
            <w:r>
              <w:rPr>
                <w:rFonts w:hint="default" w:ascii="Times New Roman" w:hAnsi="Times New Roman" w:eastAsia="仿宋_GB2312" w:cs="Times New Roman"/>
                <w:color w:val="auto"/>
                <w:sz w:val="28"/>
                <w:szCs w:val="28"/>
                <w:highlight w:val="none"/>
                <w:shd w:val="clear" w:color="auto" w:fill="auto"/>
                <w:lang w:val="en-US" w:eastAsia="zh-CN"/>
              </w:rPr>
              <w:t>服务对象满意度评价达90%</w:t>
            </w:r>
            <w:r>
              <w:rPr>
                <w:rFonts w:hint="eastAsia" w:ascii="Times New Roman" w:hAnsi="Times New Roman" w:eastAsia="仿宋_GB2312" w:cs="Times New Roman"/>
                <w:color w:val="auto"/>
                <w:sz w:val="28"/>
                <w:szCs w:val="28"/>
                <w:highlight w:val="none"/>
                <w:shd w:val="clear" w:color="auto" w:fill="auto"/>
                <w:lang w:val="en-US" w:eastAsia="zh-CN"/>
              </w:rPr>
              <w:t>及</w:t>
            </w:r>
            <w:r>
              <w:rPr>
                <w:rFonts w:hint="default" w:ascii="Times New Roman" w:hAnsi="Times New Roman" w:eastAsia="仿宋_GB2312" w:cs="Times New Roman"/>
                <w:color w:val="auto"/>
                <w:sz w:val="28"/>
                <w:szCs w:val="28"/>
                <w:highlight w:val="none"/>
                <w:shd w:val="clear" w:color="auto" w:fill="auto"/>
                <w:lang w:val="en-US" w:eastAsia="zh-CN"/>
              </w:rPr>
              <w:t>以上得15分，80%—89%得10分，70%—79%得5分，70%以下的此项不计分（需提供服务对象签字确认的满意度调查表）。</w:t>
            </w:r>
          </w:p>
        </w:tc>
        <w:tc>
          <w:tcPr>
            <w:tcW w:w="1616" w:type="dxa"/>
            <w:noWrap w:val="0"/>
            <w:vAlign w:val="center"/>
          </w:tcPr>
          <w:p w14:paraId="6FC53C2E">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8"/>
                <w:szCs w:val="28"/>
                <w:highlight w:val="none"/>
                <w:shd w:val="clear" w:color="auto" w:fill="auto"/>
                <w:vertAlign w:val="baseline"/>
                <w:lang w:val="en-US" w:eastAsia="zh-CN"/>
              </w:rPr>
            </w:pPr>
            <w:r>
              <w:rPr>
                <w:rFonts w:hint="default" w:ascii="Times New Roman" w:hAnsi="Times New Roman" w:eastAsia="仿宋_GB2312" w:cs="Times New Roman"/>
                <w:color w:val="auto"/>
                <w:sz w:val="28"/>
                <w:szCs w:val="28"/>
                <w:highlight w:val="none"/>
                <w:shd w:val="clear" w:color="auto" w:fill="auto"/>
                <w:vertAlign w:val="baseline"/>
                <w:lang w:val="en-US" w:eastAsia="zh-CN"/>
              </w:rPr>
              <w:t>15分</w:t>
            </w:r>
          </w:p>
        </w:tc>
      </w:tr>
      <w:tr w14:paraId="6990F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2" w:hRule="atLeast"/>
        </w:trPr>
        <w:tc>
          <w:tcPr>
            <w:tcW w:w="1589" w:type="dxa"/>
            <w:vMerge w:val="continue"/>
            <w:noWrap w:val="0"/>
            <w:vAlign w:val="center"/>
          </w:tcPr>
          <w:p w14:paraId="7F76BA65">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b/>
                <w:bCs/>
                <w:color w:val="auto"/>
                <w:sz w:val="28"/>
                <w:szCs w:val="28"/>
                <w:highlight w:val="none"/>
                <w:shd w:val="clear" w:color="auto" w:fill="auto"/>
                <w:lang w:val="en-US" w:eastAsia="zh-CN"/>
              </w:rPr>
            </w:pPr>
          </w:p>
        </w:tc>
        <w:tc>
          <w:tcPr>
            <w:tcW w:w="5850" w:type="dxa"/>
            <w:noWrap w:val="0"/>
            <w:vAlign w:val="center"/>
          </w:tcPr>
          <w:p w14:paraId="7F0F84A3">
            <w:pPr>
              <w:keepNext w:val="0"/>
              <w:keepLines w:val="0"/>
              <w:pageBreakBefore w:val="0"/>
              <w:widowControl w:val="0"/>
              <w:shd w:val="clear" w:color="auto" w:fill="auto"/>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b/>
                <w:bCs/>
                <w:color w:val="auto"/>
                <w:sz w:val="28"/>
                <w:szCs w:val="28"/>
                <w:highlight w:val="none"/>
                <w:shd w:val="clear" w:color="auto" w:fill="auto"/>
                <w:lang w:val="en-US" w:eastAsia="zh-CN"/>
              </w:rPr>
            </w:pPr>
            <w:r>
              <w:rPr>
                <w:rFonts w:hint="default" w:ascii="Times New Roman" w:hAnsi="Times New Roman" w:eastAsia="仿宋_GB2312" w:cs="Times New Roman"/>
                <w:b/>
                <w:bCs/>
                <w:color w:val="auto"/>
                <w:sz w:val="28"/>
                <w:szCs w:val="28"/>
                <w:highlight w:val="none"/>
                <w:shd w:val="clear" w:color="auto" w:fill="auto"/>
                <w:lang w:val="en-US" w:eastAsia="zh-CN"/>
              </w:rPr>
              <w:t>2．行业影响力（5分）：</w:t>
            </w:r>
            <w:r>
              <w:rPr>
                <w:rFonts w:hint="default" w:ascii="Times New Roman" w:hAnsi="Times New Roman" w:eastAsia="仿宋_GB2312" w:cs="Times New Roman"/>
                <w:color w:val="auto"/>
                <w:sz w:val="28"/>
                <w:szCs w:val="28"/>
                <w:highlight w:val="none"/>
                <w:shd w:val="clear" w:color="auto" w:fill="auto"/>
                <w:lang w:val="en-US" w:eastAsia="zh-CN"/>
              </w:rPr>
              <w:t>年度内组织开展的创业指导服务或活动被市级及以上新闻媒体报道推介的，每篇计1分；在市级及以上新闻媒体上发表创业相关专业文章的，每篇计3分。此项累计得分不超过5分（需提供媒体报道、发表凭证等佐证材料）。</w:t>
            </w:r>
          </w:p>
        </w:tc>
        <w:tc>
          <w:tcPr>
            <w:tcW w:w="1616" w:type="dxa"/>
            <w:noWrap w:val="0"/>
            <w:vAlign w:val="center"/>
          </w:tcPr>
          <w:p w14:paraId="78D430C5">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8"/>
                <w:szCs w:val="28"/>
                <w:highlight w:val="none"/>
                <w:shd w:val="clear" w:color="auto" w:fill="auto"/>
                <w:vertAlign w:val="baseline"/>
                <w:lang w:val="en-US" w:eastAsia="zh-CN"/>
              </w:rPr>
            </w:pPr>
            <w:r>
              <w:rPr>
                <w:rFonts w:hint="default" w:ascii="Times New Roman" w:hAnsi="Times New Roman" w:eastAsia="仿宋_GB2312" w:cs="Times New Roman"/>
                <w:color w:val="auto"/>
                <w:sz w:val="28"/>
                <w:szCs w:val="28"/>
                <w:highlight w:val="none"/>
                <w:shd w:val="clear" w:color="auto" w:fill="auto"/>
                <w:vertAlign w:val="baseline"/>
                <w:lang w:val="en-US" w:eastAsia="zh-CN"/>
              </w:rPr>
              <w:t>5分</w:t>
            </w:r>
          </w:p>
        </w:tc>
      </w:tr>
      <w:tr w14:paraId="6C6C0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3" w:hRule="atLeast"/>
        </w:trPr>
        <w:tc>
          <w:tcPr>
            <w:tcW w:w="1589" w:type="dxa"/>
            <w:vMerge w:val="restart"/>
            <w:noWrap w:val="0"/>
            <w:vAlign w:val="center"/>
          </w:tcPr>
          <w:p w14:paraId="6853770D">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b/>
                <w:bCs/>
                <w:color w:val="auto"/>
                <w:sz w:val="28"/>
                <w:szCs w:val="28"/>
                <w:highlight w:val="none"/>
                <w:shd w:val="clear" w:color="auto" w:fill="auto"/>
                <w:lang w:val="en-US" w:eastAsia="zh-CN"/>
              </w:rPr>
            </w:pPr>
            <w:r>
              <w:rPr>
                <w:rFonts w:hint="default" w:ascii="Times New Roman" w:hAnsi="Times New Roman" w:eastAsia="仿宋_GB2312" w:cs="Times New Roman"/>
                <w:b/>
                <w:bCs/>
                <w:color w:val="auto"/>
                <w:sz w:val="28"/>
                <w:szCs w:val="28"/>
                <w:highlight w:val="none"/>
                <w:shd w:val="clear" w:color="auto" w:fill="auto"/>
                <w:lang w:val="en-US" w:eastAsia="zh-CN"/>
              </w:rPr>
              <w:t>创新方法（10分）</w:t>
            </w:r>
          </w:p>
        </w:tc>
        <w:tc>
          <w:tcPr>
            <w:tcW w:w="5850" w:type="dxa"/>
            <w:noWrap w:val="0"/>
            <w:vAlign w:val="center"/>
          </w:tcPr>
          <w:p w14:paraId="5C23941B">
            <w:pPr>
              <w:keepNext w:val="0"/>
              <w:keepLines w:val="0"/>
              <w:pageBreakBefore w:val="0"/>
              <w:widowControl w:val="0"/>
              <w:shd w:val="clear" w:color="auto" w:fill="auto"/>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b/>
                <w:bCs/>
                <w:color w:val="auto"/>
                <w:sz w:val="28"/>
                <w:szCs w:val="28"/>
                <w:highlight w:val="none"/>
                <w:shd w:val="clear" w:color="auto" w:fill="auto"/>
                <w:lang w:val="en-US" w:eastAsia="zh-CN"/>
              </w:rPr>
            </w:pPr>
            <w:r>
              <w:rPr>
                <w:rFonts w:hint="default" w:ascii="Times New Roman" w:hAnsi="Times New Roman" w:eastAsia="仿宋_GB2312" w:cs="Times New Roman"/>
                <w:b/>
                <w:bCs/>
                <w:color w:val="auto"/>
                <w:sz w:val="28"/>
                <w:szCs w:val="28"/>
                <w:highlight w:val="none"/>
                <w:shd w:val="clear" w:color="auto" w:fill="auto"/>
                <w:lang w:val="en-US" w:eastAsia="zh-CN"/>
              </w:rPr>
              <w:t>1．指导模式创新（6分）：</w:t>
            </w:r>
            <w:r>
              <w:rPr>
                <w:rFonts w:hint="default" w:ascii="Times New Roman" w:hAnsi="Times New Roman" w:eastAsia="仿宋_GB2312" w:cs="Times New Roman"/>
                <w:color w:val="auto"/>
                <w:sz w:val="28"/>
                <w:szCs w:val="28"/>
                <w:highlight w:val="none"/>
                <w:shd w:val="clear" w:color="auto" w:fill="auto"/>
                <w:lang w:val="en-US" w:eastAsia="zh-CN"/>
              </w:rPr>
              <w:t>探索</w:t>
            </w:r>
            <w:r>
              <w:rPr>
                <w:rFonts w:hint="eastAsia" w:ascii="Times New Roman" w:hAnsi="Times New Roman" w:eastAsia="仿宋_GB2312" w:cs="Times New Roman"/>
                <w:color w:val="auto"/>
                <w:sz w:val="28"/>
                <w:szCs w:val="28"/>
                <w:highlight w:val="none"/>
                <w:shd w:val="clear" w:color="auto" w:fill="auto"/>
                <w:lang w:val="en-US" w:eastAsia="zh-CN"/>
              </w:rPr>
              <w:t>“</w:t>
            </w:r>
            <w:r>
              <w:rPr>
                <w:rFonts w:hint="default" w:ascii="Times New Roman" w:hAnsi="Times New Roman" w:eastAsia="仿宋_GB2312" w:cs="Times New Roman"/>
                <w:color w:val="auto"/>
                <w:sz w:val="28"/>
                <w:szCs w:val="28"/>
                <w:highlight w:val="none"/>
                <w:shd w:val="clear" w:color="auto" w:fill="auto"/>
                <w:lang w:val="en-US" w:eastAsia="zh-CN"/>
              </w:rPr>
              <w:t>线上直播+线下实操</w:t>
            </w:r>
            <w:r>
              <w:rPr>
                <w:rFonts w:hint="eastAsia" w:ascii="Times New Roman" w:hAnsi="Times New Roman" w:eastAsia="仿宋_GB2312" w:cs="Times New Roman"/>
                <w:color w:val="auto"/>
                <w:sz w:val="28"/>
                <w:szCs w:val="28"/>
                <w:highlight w:val="none"/>
                <w:shd w:val="clear" w:color="auto" w:fill="auto"/>
                <w:lang w:val="en-US" w:eastAsia="zh-CN"/>
              </w:rPr>
              <w:t>”“</w:t>
            </w:r>
            <w:r>
              <w:rPr>
                <w:rFonts w:hint="default" w:ascii="Times New Roman" w:hAnsi="Times New Roman" w:eastAsia="仿宋_GB2312" w:cs="Times New Roman"/>
                <w:color w:val="auto"/>
                <w:sz w:val="28"/>
                <w:szCs w:val="28"/>
                <w:highlight w:val="none"/>
                <w:shd w:val="clear" w:color="auto" w:fill="auto"/>
                <w:lang w:val="en-US" w:eastAsia="zh-CN"/>
              </w:rPr>
              <w:t>行业定制化指导</w:t>
            </w:r>
            <w:r>
              <w:rPr>
                <w:rFonts w:hint="eastAsia" w:ascii="Times New Roman" w:hAnsi="Times New Roman" w:eastAsia="仿宋_GB2312" w:cs="Times New Roman"/>
                <w:color w:val="auto"/>
                <w:sz w:val="28"/>
                <w:szCs w:val="28"/>
                <w:highlight w:val="none"/>
                <w:shd w:val="clear" w:color="auto" w:fill="auto"/>
                <w:lang w:val="en-US" w:eastAsia="zh-CN"/>
              </w:rPr>
              <w:t>”</w:t>
            </w:r>
            <w:r>
              <w:rPr>
                <w:rFonts w:hint="default" w:ascii="Times New Roman" w:hAnsi="Times New Roman" w:eastAsia="仿宋_GB2312" w:cs="Times New Roman"/>
                <w:color w:val="auto"/>
                <w:sz w:val="28"/>
                <w:szCs w:val="28"/>
                <w:highlight w:val="none"/>
                <w:shd w:val="clear" w:color="auto" w:fill="auto"/>
                <w:lang w:val="en-US" w:eastAsia="zh-CN"/>
              </w:rPr>
              <w:t>等新型帮扶模式，</w:t>
            </w:r>
            <w:r>
              <w:rPr>
                <w:rFonts w:hint="default" w:ascii="Times New Roman" w:hAnsi="Times New Roman" w:eastAsia="仿宋_GB2312" w:cs="Times New Roman"/>
                <w:b w:val="0"/>
                <w:bCs w:val="0"/>
                <w:color w:val="auto"/>
                <w:sz w:val="28"/>
                <w:szCs w:val="28"/>
                <w:highlight w:val="none"/>
                <w:shd w:val="clear" w:color="auto" w:fill="auto"/>
                <w:lang w:val="en-US" w:eastAsia="zh-CN"/>
              </w:rPr>
              <w:t>年度内</w:t>
            </w:r>
            <w:r>
              <w:rPr>
                <w:rFonts w:hint="default" w:ascii="Times New Roman" w:hAnsi="Times New Roman" w:eastAsia="仿宋_GB2312" w:cs="Times New Roman"/>
                <w:color w:val="auto"/>
                <w:sz w:val="28"/>
                <w:szCs w:val="28"/>
                <w:highlight w:val="none"/>
                <w:shd w:val="clear" w:color="auto" w:fill="auto"/>
                <w:lang w:val="en-US" w:eastAsia="zh-CN"/>
              </w:rPr>
              <w:t>成效显著且被市级及以上相关部门通报表扬或新闻媒体广泛推介的，得6分；采用传统指导模式但流程规范、针对性强的，根据实际效果计3—5分。</w:t>
            </w:r>
          </w:p>
        </w:tc>
        <w:tc>
          <w:tcPr>
            <w:tcW w:w="1616" w:type="dxa"/>
            <w:noWrap w:val="0"/>
            <w:vAlign w:val="center"/>
          </w:tcPr>
          <w:p w14:paraId="455C541E">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8"/>
                <w:szCs w:val="28"/>
                <w:highlight w:val="none"/>
                <w:shd w:val="clear" w:color="auto" w:fill="auto"/>
                <w:vertAlign w:val="baseline"/>
                <w:lang w:val="en-US" w:eastAsia="zh-CN"/>
              </w:rPr>
            </w:pPr>
            <w:r>
              <w:rPr>
                <w:rFonts w:hint="default" w:ascii="Times New Roman" w:hAnsi="Times New Roman" w:eastAsia="仿宋_GB2312" w:cs="Times New Roman"/>
                <w:color w:val="auto"/>
                <w:sz w:val="28"/>
                <w:szCs w:val="28"/>
                <w:highlight w:val="none"/>
                <w:shd w:val="clear" w:color="auto" w:fill="auto"/>
                <w:vertAlign w:val="baseline"/>
                <w:lang w:val="en-US" w:eastAsia="zh-CN"/>
              </w:rPr>
              <w:t>6分</w:t>
            </w:r>
          </w:p>
        </w:tc>
      </w:tr>
      <w:tr w14:paraId="00AC2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7" w:hRule="atLeast"/>
        </w:trPr>
        <w:tc>
          <w:tcPr>
            <w:tcW w:w="1589" w:type="dxa"/>
            <w:vMerge w:val="continue"/>
            <w:noWrap w:val="0"/>
            <w:vAlign w:val="center"/>
          </w:tcPr>
          <w:p w14:paraId="456F9A6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auto"/>
                <w:sz w:val="28"/>
                <w:szCs w:val="28"/>
                <w:highlight w:val="none"/>
                <w:shd w:val="clear" w:color="auto" w:fill="auto"/>
                <w:lang w:val="en-US" w:eastAsia="zh-CN"/>
              </w:rPr>
            </w:pPr>
          </w:p>
        </w:tc>
        <w:tc>
          <w:tcPr>
            <w:tcW w:w="5850" w:type="dxa"/>
            <w:noWrap w:val="0"/>
            <w:vAlign w:val="center"/>
          </w:tcPr>
          <w:p w14:paraId="1883ED81">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b/>
                <w:bCs/>
                <w:color w:val="auto"/>
                <w:sz w:val="28"/>
                <w:szCs w:val="28"/>
                <w:highlight w:val="none"/>
                <w:shd w:val="clear" w:color="auto" w:fill="auto"/>
                <w:lang w:val="en-US" w:eastAsia="zh-CN"/>
              </w:rPr>
            </w:pPr>
            <w:r>
              <w:rPr>
                <w:rFonts w:hint="default" w:ascii="Times New Roman" w:hAnsi="Times New Roman" w:eastAsia="仿宋_GB2312" w:cs="Times New Roman"/>
                <w:b/>
                <w:bCs/>
                <w:color w:val="auto"/>
                <w:sz w:val="28"/>
                <w:szCs w:val="28"/>
                <w:highlight w:val="none"/>
                <w:shd w:val="clear" w:color="auto" w:fill="auto"/>
                <w:lang w:val="en-US" w:eastAsia="zh-CN"/>
              </w:rPr>
              <w:t>2．服务工具创新（4分）：</w:t>
            </w:r>
            <w:r>
              <w:rPr>
                <w:rFonts w:hint="default" w:ascii="Times New Roman" w:hAnsi="Times New Roman" w:eastAsia="仿宋_GB2312" w:cs="Times New Roman"/>
                <w:b w:val="0"/>
                <w:bCs w:val="0"/>
                <w:color w:val="auto"/>
                <w:sz w:val="28"/>
                <w:szCs w:val="28"/>
                <w:highlight w:val="none"/>
                <w:shd w:val="clear" w:color="auto" w:fill="auto"/>
                <w:lang w:val="en-US" w:eastAsia="zh-CN"/>
              </w:rPr>
              <w:t>年度内</w:t>
            </w:r>
            <w:r>
              <w:rPr>
                <w:rFonts w:hint="default" w:ascii="Times New Roman" w:hAnsi="Times New Roman" w:eastAsia="仿宋_GB2312" w:cs="Times New Roman"/>
                <w:color w:val="auto"/>
                <w:sz w:val="28"/>
                <w:szCs w:val="28"/>
                <w:highlight w:val="none"/>
                <w:shd w:val="clear" w:color="auto" w:fill="auto"/>
                <w:lang w:val="en-US" w:eastAsia="zh-CN"/>
              </w:rPr>
              <w:t>开发创业指导手册、案例库、在线咨询平台等标准化服务工具，或形成可复制推广的指导方法论的，得4分（需提供工具实物或相关说明材料）。</w:t>
            </w:r>
          </w:p>
        </w:tc>
        <w:tc>
          <w:tcPr>
            <w:tcW w:w="1616" w:type="dxa"/>
            <w:noWrap w:val="0"/>
            <w:vAlign w:val="center"/>
          </w:tcPr>
          <w:p w14:paraId="41D7D34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8"/>
                <w:szCs w:val="28"/>
                <w:highlight w:val="none"/>
                <w:shd w:val="clear" w:color="auto" w:fill="auto"/>
                <w:vertAlign w:val="baseline"/>
                <w:lang w:val="en-US" w:eastAsia="zh-CN"/>
              </w:rPr>
            </w:pPr>
            <w:r>
              <w:rPr>
                <w:rFonts w:hint="default" w:ascii="Times New Roman" w:hAnsi="Times New Roman" w:eastAsia="仿宋_GB2312" w:cs="Times New Roman"/>
                <w:color w:val="auto"/>
                <w:sz w:val="28"/>
                <w:szCs w:val="28"/>
                <w:highlight w:val="none"/>
                <w:shd w:val="clear" w:color="auto" w:fill="auto"/>
                <w:vertAlign w:val="baseline"/>
                <w:lang w:val="en-US" w:eastAsia="zh-CN"/>
              </w:rPr>
              <w:t>4分</w:t>
            </w:r>
          </w:p>
        </w:tc>
      </w:tr>
    </w:tbl>
    <w:p w14:paraId="7393D588"/>
    <w:sectPr>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altName w:val="仿宋_GB2312"/>
    <w:panose1 w:val="02010609060101010101"/>
    <w:charset w:val="86"/>
    <w:family w:val="auto"/>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B756C1"/>
    <w:rsid w:val="0BB756C1"/>
    <w:rsid w:val="5C594F92"/>
    <w:rsid w:val="5E631815"/>
    <w:rsid w:val="DFFBB4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2026-03-02T11:45:00Z</dcterms:created>
  <dc:creator>龙钰蓉</dc:creator>
  <cp:lastModifiedBy>xjkp</cp:lastModifiedBy>
  <dcterms:modified xsi:type="dcterms:W3CDTF">2026-03-02T17:51:23Z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A228AA1CBB734D52AB6E5792045AA3BB_11</vt:lpwstr>
  </property>
  <property fmtid="{D5CDD505-2E9C-101B-9397-08002B2CF9AE}" pid="4" name="KSOTemplateDocerSaveRecord">
    <vt:lpwstr>eyJoZGlkIjoiNDVhYjIwYjI5ZDFiZmE1ZGM2MmQ5ZDI0Y2UyOTc3NzciLCJ1c2VySWQiOiIxNDc5MzgwNjA3In0=</vt:lpwstr>
  </property>
</Properties>
</file>