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rPr>
          <w:rFonts w:ascii="黑体" w:hAnsi="黑体" w:eastAsia="黑体"/>
          <w:sz w:val="28"/>
          <w:szCs w:val="28"/>
          <w:highlight w:val="none"/>
        </w:rPr>
      </w:pPr>
      <w:bookmarkStart w:id="0" w:name="_GoBack"/>
      <w:bookmarkEnd w:id="0"/>
      <w:r>
        <w:rPr>
          <w:rFonts w:hint="eastAsia" w:ascii="黑体" w:hAnsi="黑体" w:eastAsia="黑体"/>
          <w:sz w:val="28"/>
          <w:szCs w:val="28"/>
        </w:rPr>
        <w:t>附件3-3</w:t>
      </w:r>
    </w:p>
    <w:p>
      <w:pPr>
        <w:pStyle w:val="8"/>
        <w:spacing w:line="440" w:lineRule="exact"/>
        <w:jc w:val="center"/>
        <w:rPr>
          <w:rFonts w:ascii="宋体" w:hAnsi="宋体"/>
          <w:b/>
          <w:sz w:val="44"/>
          <w:szCs w:val="44"/>
          <w:highlight w:val="none"/>
        </w:rPr>
      </w:pPr>
      <w:r>
        <w:rPr>
          <w:rFonts w:hint="eastAsia" w:ascii="宋体" w:hAnsi="宋体"/>
          <w:b/>
          <w:sz w:val="44"/>
          <w:szCs w:val="44"/>
          <w:highlight w:val="none"/>
        </w:rPr>
        <w:t xml:space="preserve"> 202</w:t>
      </w:r>
      <w:r>
        <w:rPr>
          <w:rFonts w:hint="eastAsia" w:ascii="宋体" w:hAnsi="宋体"/>
          <w:b/>
          <w:sz w:val="44"/>
          <w:szCs w:val="44"/>
          <w:highlight w:val="none"/>
          <w:lang w:val="en-US" w:eastAsia="zh-CN"/>
        </w:rPr>
        <w:t>1</w:t>
      </w:r>
      <w:r>
        <w:rPr>
          <w:rFonts w:hint="eastAsia" w:ascii="宋体" w:hAnsi="宋体"/>
          <w:b/>
          <w:sz w:val="44"/>
          <w:szCs w:val="44"/>
          <w:highlight w:val="none"/>
        </w:rPr>
        <w:t>年度区民营及中小企业优秀</w:t>
      </w:r>
      <w:r>
        <w:rPr>
          <w:rFonts w:hint="eastAsia" w:ascii="宋体" w:hAnsi="宋体"/>
          <w:b/>
          <w:sz w:val="44"/>
          <w:szCs w:val="44"/>
          <w:highlight w:val="none"/>
          <w:u w:val="single"/>
        </w:rPr>
        <w:t>技术骨干</w:t>
      </w:r>
      <w:r>
        <w:rPr>
          <w:rFonts w:hint="eastAsia" w:ascii="宋体" w:hAnsi="宋体"/>
          <w:b/>
          <w:sz w:val="44"/>
          <w:szCs w:val="44"/>
          <w:highlight w:val="none"/>
        </w:rPr>
        <w:t>住房补贴</w:t>
      </w:r>
      <w:r>
        <w:rPr>
          <w:rFonts w:hint="eastAsia" w:ascii="宋体" w:hAnsi="宋体"/>
          <w:b/>
          <w:sz w:val="44"/>
          <w:szCs w:val="44"/>
          <w:highlight w:val="none"/>
          <w:lang w:eastAsia="zh-CN"/>
        </w:rPr>
        <w:t>遴选</w:t>
      </w:r>
      <w:r>
        <w:rPr>
          <w:rFonts w:hint="eastAsia" w:ascii="宋体" w:hAnsi="宋体"/>
          <w:b/>
          <w:sz w:val="44"/>
          <w:szCs w:val="44"/>
          <w:highlight w:val="none"/>
        </w:rPr>
        <w:t>评分表</w:t>
      </w:r>
    </w:p>
    <w:p>
      <w:pPr>
        <w:pStyle w:val="8"/>
        <w:spacing w:line="440" w:lineRule="exact"/>
        <w:rPr>
          <w:rFonts w:ascii="仿宋_GB2312" w:eastAsia="仿宋_GB2312"/>
          <w:sz w:val="28"/>
          <w:szCs w:val="28"/>
          <w:highlight w:val="none"/>
        </w:rPr>
      </w:pPr>
    </w:p>
    <w:p>
      <w:pPr>
        <w:pStyle w:val="8"/>
        <w:spacing w:line="440" w:lineRule="exact"/>
        <w:rPr>
          <w:rFonts w:hint="default" w:ascii="宋体" w:hAnsi="宋体" w:eastAsia="宋体"/>
          <w:szCs w:val="21"/>
          <w:highlight w:val="none"/>
          <w:lang w:val="en-US" w:eastAsia="zh-CN"/>
        </w:rPr>
      </w:pPr>
      <w:r>
        <w:rPr>
          <w:rFonts w:hint="eastAsia" w:ascii="宋体" w:hAnsi="宋体"/>
          <w:szCs w:val="21"/>
          <w:highlight w:val="none"/>
        </w:rPr>
        <w:t>单位名称（盖章）：</w:t>
      </w:r>
      <w:r>
        <w:rPr>
          <w:rFonts w:hint="eastAsia" w:ascii="宋体" w:hAnsi="宋体"/>
          <w:szCs w:val="21"/>
          <w:highlight w:val="none"/>
          <w:lang w:val="en-US" w:eastAsia="zh-CN"/>
        </w:rPr>
        <w:t xml:space="preserve">                                            参评人（手写签字）：                       时间：   </w:t>
      </w:r>
    </w:p>
    <w:tbl>
      <w:tblPr>
        <w:tblStyle w:val="6"/>
        <w:tblW w:w="15137" w:type="dxa"/>
        <w:jc w:val="center"/>
        <w:tblLayout w:type="fixed"/>
        <w:tblCellMar>
          <w:top w:w="0" w:type="dxa"/>
          <w:left w:w="108" w:type="dxa"/>
          <w:bottom w:w="0" w:type="dxa"/>
          <w:right w:w="108" w:type="dxa"/>
        </w:tblCellMar>
      </w:tblPr>
      <w:tblGrid>
        <w:gridCol w:w="917"/>
        <w:gridCol w:w="992"/>
        <w:gridCol w:w="6300"/>
        <w:gridCol w:w="3960"/>
        <w:gridCol w:w="720"/>
        <w:gridCol w:w="720"/>
        <w:gridCol w:w="720"/>
        <w:gridCol w:w="808"/>
      </w:tblGrid>
      <w:tr>
        <w:tblPrEx>
          <w:tblCellMar>
            <w:top w:w="0" w:type="dxa"/>
            <w:left w:w="108" w:type="dxa"/>
            <w:bottom w:w="0" w:type="dxa"/>
            <w:right w:w="108" w:type="dxa"/>
          </w:tblCellMar>
        </w:tblPrEx>
        <w:trPr>
          <w:trHeight w:val="503" w:hRule="atLeast"/>
          <w:jc w:val="center"/>
        </w:trPr>
        <w:tc>
          <w:tcPr>
            <w:tcW w:w="1909" w:type="dxa"/>
            <w:gridSpan w:val="2"/>
            <w:tcBorders>
              <w:top w:val="single" w:color="auto" w:sz="4" w:space="0"/>
              <w:left w:val="single" w:color="auto" w:sz="4" w:space="0"/>
              <w:bottom w:val="single" w:color="auto" w:sz="4" w:space="0"/>
              <w:right w:val="single" w:color="auto" w:sz="4" w:space="0"/>
            </w:tcBorders>
            <w:vAlign w:val="center"/>
          </w:tcPr>
          <w:p>
            <w:pPr>
              <w:pStyle w:val="8"/>
              <w:widowControl/>
              <w:spacing w:line="240" w:lineRule="exact"/>
              <w:jc w:val="center"/>
              <w:rPr>
                <w:rFonts w:ascii="宋体" w:hAnsi="宋体" w:cs="宋体"/>
                <w:b/>
                <w:bCs/>
                <w:kern w:val="0"/>
                <w:sz w:val="18"/>
                <w:szCs w:val="18"/>
                <w:highlight w:val="none"/>
              </w:rPr>
            </w:pPr>
            <w:r>
              <w:rPr>
                <w:rFonts w:hint="eastAsia" w:ascii="宋体" w:hAnsi="宋体" w:cs="宋体"/>
                <w:b/>
                <w:bCs/>
                <w:kern w:val="0"/>
                <w:sz w:val="18"/>
                <w:szCs w:val="18"/>
                <w:highlight w:val="none"/>
              </w:rPr>
              <w:t>积分指标</w:t>
            </w:r>
          </w:p>
        </w:tc>
        <w:tc>
          <w:tcPr>
            <w:tcW w:w="6300" w:type="dxa"/>
            <w:tcBorders>
              <w:top w:val="single" w:color="auto" w:sz="4" w:space="0"/>
              <w:left w:val="nil"/>
              <w:bottom w:val="single" w:color="auto" w:sz="4" w:space="0"/>
              <w:right w:val="single" w:color="auto" w:sz="4" w:space="0"/>
            </w:tcBorders>
            <w:vAlign w:val="center"/>
          </w:tcPr>
          <w:p>
            <w:pPr>
              <w:pStyle w:val="8"/>
              <w:widowControl/>
              <w:spacing w:line="240" w:lineRule="exact"/>
              <w:jc w:val="center"/>
              <w:rPr>
                <w:rFonts w:ascii="宋体" w:hAnsi="宋体" w:cs="宋体"/>
                <w:b/>
                <w:bCs/>
                <w:kern w:val="0"/>
                <w:sz w:val="18"/>
                <w:szCs w:val="18"/>
                <w:highlight w:val="none"/>
              </w:rPr>
            </w:pPr>
            <w:r>
              <w:rPr>
                <w:rFonts w:hint="eastAsia" w:ascii="宋体" w:hAnsi="宋体" w:cs="宋体"/>
                <w:b/>
                <w:bCs/>
                <w:kern w:val="0"/>
                <w:sz w:val="18"/>
                <w:szCs w:val="18"/>
                <w:highlight w:val="none"/>
              </w:rPr>
              <w:t>项目及分值</w:t>
            </w:r>
          </w:p>
        </w:tc>
        <w:tc>
          <w:tcPr>
            <w:tcW w:w="3960" w:type="dxa"/>
            <w:tcBorders>
              <w:top w:val="single" w:color="auto" w:sz="4" w:space="0"/>
              <w:left w:val="nil"/>
              <w:bottom w:val="single" w:color="auto" w:sz="4" w:space="0"/>
              <w:right w:val="single" w:color="auto" w:sz="4" w:space="0"/>
            </w:tcBorders>
            <w:vAlign w:val="center"/>
          </w:tcPr>
          <w:p>
            <w:pPr>
              <w:pStyle w:val="8"/>
              <w:widowControl/>
              <w:spacing w:line="240" w:lineRule="exact"/>
              <w:jc w:val="center"/>
              <w:rPr>
                <w:rFonts w:ascii="宋体" w:hAnsi="宋体" w:cs="宋体"/>
                <w:b/>
                <w:bCs/>
                <w:kern w:val="0"/>
                <w:sz w:val="18"/>
                <w:szCs w:val="18"/>
                <w:highlight w:val="none"/>
              </w:rPr>
            </w:pPr>
            <w:r>
              <w:rPr>
                <w:rFonts w:hint="eastAsia" w:ascii="宋体" w:hAnsi="宋体" w:cs="宋体"/>
                <w:b/>
                <w:bCs/>
                <w:kern w:val="0"/>
                <w:sz w:val="18"/>
                <w:szCs w:val="18"/>
                <w:highlight w:val="none"/>
              </w:rPr>
              <w:t>说明</w:t>
            </w:r>
          </w:p>
        </w:tc>
        <w:tc>
          <w:tcPr>
            <w:tcW w:w="720" w:type="dxa"/>
            <w:tcBorders>
              <w:top w:val="single" w:color="auto" w:sz="4" w:space="0"/>
              <w:left w:val="nil"/>
              <w:bottom w:val="single" w:color="auto" w:sz="4" w:space="0"/>
              <w:right w:val="single" w:color="auto" w:sz="4" w:space="0"/>
            </w:tcBorders>
            <w:vAlign w:val="center"/>
          </w:tcPr>
          <w:p>
            <w:pPr>
              <w:pStyle w:val="8"/>
              <w:widowControl/>
              <w:spacing w:line="240" w:lineRule="exact"/>
              <w:jc w:val="center"/>
              <w:rPr>
                <w:rFonts w:ascii="宋体" w:hAnsi="宋体" w:cs="宋体"/>
                <w:b/>
                <w:bCs/>
                <w:kern w:val="0"/>
                <w:sz w:val="18"/>
                <w:szCs w:val="18"/>
                <w:highlight w:val="none"/>
              </w:rPr>
            </w:pPr>
            <w:r>
              <w:rPr>
                <w:rFonts w:hint="eastAsia" w:ascii="宋体" w:hAnsi="宋体" w:cs="宋体"/>
                <w:b/>
                <w:bCs/>
                <w:kern w:val="0"/>
                <w:sz w:val="18"/>
                <w:szCs w:val="18"/>
                <w:highlight w:val="none"/>
              </w:rPr>
              <w:t>单位自评分</w:t>
            </w:r>
          </w:p>
        </w:tc>
        <w:tc>
          <w:tcPr>
            <w:tcW w:w="720" w:type="dxa"/>
            <w:tcBorders>
              <w:top w:val="single" w:color="auto" w:sz="4" w:space="0"/>
              <w:left w:val="nil"/>
              <w:bottom w:val="single" w:color="auto" w:sz="4" w:space="0"/>
              <w:right w:val="single" w:color="auto" w:sz="4" w:space="0"/>
            </w:tcBorders>
            <w:vAlign w:val="center"/>
          </w:tcPr>
          <w:p>
            <w:pPr>
              <w:pStyle w:val="8"/>
              <w:widowControl/>
              <w:spacing w:line="240" w:lineRule="exact"/>
              <w:jc w:val="center"/>
              <w:rPr>
                <w:rFonts w:hint="eastAsia" w:ascii="宋体" w:hAnsi="宋体" w:cs="宋体"/>
                <w:b/>
                <w:bCs/>
                <w:kern w:val="0"/>
                <w:sz w:val="18"/>
                <w:szCs w:val="18"/>
                <w:highlight w:val="none"/>
              </w:rPr>
            </w:pPr>
            <w:r>
              <w:rPr>
                <w:rFonts w:hint="eastAsia" w:ascii="宋体" w:hAnsi="宋体" w:cs="宋体"/>
                <w:b/>
                <w:bCs/>
                <w:kern w:val="0"/>
                <w:sz w:val="18"/>
                <w:szCs w:val="18"/>
                <w:highlight w:val="none"/>
                <w:lang w:eastAsia="zh-CN"/>
              </w:rPr>
              <w:t>佐证材料页码</w:t>
            </w:r>
          </w:p>
        </w:tc>
        <w:tc>
          <w:tcPr>
            <w:tcW w:w="720" w:type="dxa"/>
            <w:tcBorders>
              <w:top w:val="single" w:color="auto" w:sz="4" w:space="0"/>
              <w:left w:val="nil"/>
              <w:bottom w:val="single" w:color="auto" w:sz="4" w:space="0"/>
              <w:right w:val="single" w:color="auto" w:sz="4" w:space="0"/>
            </w:tcBorders>
            <w:vAlign w:val="center"/>
          </w:tcPr>
          <w:p>
            <w:pPr>
              <w:pStyle w:val="8"/>
              <w:widowControl/>
              <w:spacing w:line="240" w:lineRule="exact"/>
              <w:jc w:val="center"/>
              <w:rPr>
                <w:rFonts w:ascii="宋体" w:hAnsi="宋体" w:cs="宋体"/>
                <w:b/>
                <w:bCs/>
                <w:kern w:val="0"/>
                <w:sz w:val="18"/>
                <w:szCs w:val="18"/>
                <w:highlight w:val="none"/>
              </w:rPr>
            </w:pPr>
            <w:r>
              <w:rPr>
                <w:rFonts w:hint="eastAsia" w:ascii="宋体" w:hAnsi="宋体" w:cs="宋体"/>
                <w:b/>
                <w:bCs/>
                <w:kern w:val="0"/>
                <w:sz w:val="18"/>
                <w:szCs w:val="18"/>
                <w:highlight w:val="none"/>
              </w:rPr>
              <w:t>专家评分</w:t>
            </w:r>
          </w:p>
        </w:tc>
        <w:tc>
          <w:tcPr>
            <w:tcW w:w="808" w:type="dxa"/>
            <w:tcBorders>
              <w:top w:val="single" w:color="auto" w:sz="4" w:space="0"/>
              <w:left w:val="single" w:color="auto" w:sz="4" w:space="0"/>
              <w:bottom w:val="single" w:color="auto" w:sz="4" w:space="0"/>
              <w:right w:val="single" w:color="auto" w:sz="4" w:space="0"/>
            </w:tcBorders>
            <w:vAlign w:val="center"/>
          </w:tcPr>
          <w:p>
            <w:pPr>
              <w:pStyle w:val="8"/>
              <w:widowControl/>
              <w:spacing w:line="240" w:lineRule="exact"/>
              <w:jc w:val="center"/>
              <w:rPr>
                <w:rFonts w:ascii="宋体" w:hAnsi="宋体" w:cs="宋体"/>
                <w:b/>
                <w:bCs/>
                <w:kern w:val="0"/>
                <w:sz w:val="18"/>
                <w:szCs w:val="18"/>
                <w:highlight w:val="none"/>
              </w:rPr>
            </w:pPr>
            <w:r>
              <w:rPr>
                <w:rFonts w:hint="eastAsia" w:ascii="宋体" w:hAnsi="宋体" w:cs="宋体"/>
                <w:b/>
                <w:bCs/>
                <w:kern w:val="0"/>
                <w:sz w:val="18"/>
                <w:szCs w:val="18"/>
                <w:highlight w:val="none"/>
              </w:rPr>
              <w:t>备注</w:t>
            </w:r>
          </w:p>
        </w:tc>
      </w:tr>
      <w:tr>
        <w:tblPrEx>
          <w:tblCellMar>
            <w:top w:w="0" w:type="dxa"/>
            <w:left w:w="108" w:type="dxa"/>
            <w:bottom w:w="0" w:type="dxa"/>
            <w:right w:w="108" w:type="dxa"/>
          </w:tblCellMar>
        </w:tblPrEx>
        <w:trPr>
          <w:trHeight w:val="467" w:hRule="atLeast"/>
          <w:jc w:val="center"/>
        </w:trPr>
        <w:tc>
          <w:tcPr>
            <w:tcW w:w="917" w:type="dxa"/>
            <w:vMerge w:val="restart"/>
            <w:tcBorders>
              <w:top w:val="single" w:color="auto" w:sz="4" w:space="0"/>
              <w:left w:val="single" w:color="auto" w:sz="4" w:space="0"/>
              <w:bottom w:val="single" w:color="auto" w:sz="4" w:space="0"/>
              <w:right w:val="single" w:color="auto" w:sz="4" w:space="0"/>
            </w:tcBorders>
            <w:vAlign w:val="center"/>
          </w:tcPr>
          <w:p>
            <w:pPr>
              <w:pStyle w:val="8"/>
              <w:widowControl/>
              <w:spacing w:line="240" w:lineRule="exact"/>
              <w:jc w:val="center"/>
              <w:rPr>
                <w:rFonts w:hint="eastAsia" w:ascii="宋体" w:hAnsi="宋体" w:cs="宋体"/>
                <w:b/>
                <w:bCs/>
                <w:kern w:val="0"/>
                <w:sz w:val="18"/>
                <w:szCs w:val="18"/>
                <w:highlight w:val="none"/>
              </w:rPr>
            </w:pPr>
            <w:r>
              <w:rPr>
                <w:rFonts w:hint="eastAsia" w:ascii="宋体" w:hAnsi="宋体" w:cs="宋体"/>
                <w:b/>
                <w:bCs/>
                <w:kern w:val="0"/>
                <w:sz w:val="18"/>
                <w:szCs w:val="18"/>
                <w:highlight w:val="none"/>
              </w:rPr>
              <w:t>基础</w:t>
            </w:r>
          </w:p>
          <w:p>
            <w:pPr>
              <w:pStyle w:val="8"/>
              <w:widowControl/>
              <w:spacing w:line="240" w:lineRule="exact"/>
              <w:jc w:val="center"/>
              <w:rPr>
                <w:rFonts w:hint="eastAsia" w:ascii="宋体" w:hAnsi="宋体" w:cs="宋体"/>
                <w:b/>
                <w:bCs/>
                <w:kern w:val="0"/>
                <w:sz w:val="18"/>
                <w:szCs w:val="18"/>
                <w:highlight w:val="none"/>
              </w:rPr>
            </w:pPr>
            <w:r>
              <w:rPr>
                <w:rFonts w:hint="eastAsia" w:ascii="宋体" w:hAnsi="宋体" w:cs="宋体"/>
                <w:b/>
                <w:bCs/>
                <w:kern w:val="0"/>
                <w:sz w:val="18"/>
                <w:szCs w:val="18"/>
                <w:highlight w:val="none"/>
              </w:rPr>
              <w:t>指标</w:t>
            </w:r>
          </w:p>
          <w:p>
            <w:pPr>
              <w:pStyle w:val="8"/>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cs="宋体"/>
                <w:b/>
                <w:bCs/>
                <w:kern w:val="0"/>
                <w:sz w:val="18"/>
                <w:szCs w:val="18"/>
                <w:highlight w:val="none"/>
                <w:lang w:eastAsia="zh-CN"/>
              </w:rPr>
              <w:t>（</w:t>
            </w:r>
            <w:r>
              <w:rPr>
                <w:rFonts w:hint="eastAsia" w:ascii="宋体" w:hAnsi="宋体" w:cs="宋体"/>
                <w:b/>
                <w:bCs/>
                <w:kern w:val="0"/>
                <w:sz w:val="18"/>
                <w:szCs w:val="18"/>
                <w:highlight w:val="none"/>
                <w:lang w:val="en-US" w:eastAsia="zh-CN"/>
              </w:rPr>
              <w:t>7项</w:t>
            </w:r>
            <w:r>
              <w:rPr>
                <w:rFonts w:hint="eastAsia" w:ascii="宋体" w:hAnsi="宋体" w:cs="宋体"/>
                <w:b/>
                <w:bCs/>
                <w:kern w:val="0"/>
                <w:sz w:val="18"/>
                <w:szCs w:val="18"/>
                <w:highlight w:val="none"/>
                <w:lang w:eastAsia="zh-CN"/>
              </w:rPr>
              <w:t>）</w:t>
            </w:r>
          </w:p>
        </w:tc>
        <w:tc>
          <w:tcPr>
            <w:tcW w:w="992" w:type="dxa"/>
            <w:tcBorders>
              <w:top w:val="single" w:color="auto" w:sz="4" w:space="0"/>
              <w:left w:val="single" w:color="auto" w:sz="4" w:space="0"/>
              <w:bottom w:val="single" w:color="auto" w:sz="4" w:space="0"/>
              <w:right w:val="single" w:color="auto" w:sz="4" w:space="0"/>
            </w:tcBorders>
            <w:vAlign w:val="center"/>
          </w:tcPr>
          <w:p>
            <w:pPr>
              <w:pStyle w:val="8"/>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1.企业认可程度</w:t>
            </w:r>
          </w:p>
          <w:p>
            <w:pPr>
              <w:pStyle w:val="8"/>
              <w:widowControl/>
              <w:spacing w:line="240" w:lineRule="exact"/>
              <w:rPr>
                <w:rFonts w:ascii="宋体" w:hAnsi="宋体" w:cs="宋体"/>
                <w:kern w:val="0"/>
                <w:sz w:val="18"/>
                <w:szCs w:val="18"/>
                <w:highlight w:val="none"/>
              </w:rPr>
            </w:pPr>
            <w:r>
              <w:rPr>
                <w:rFonts w:hint="eastAsia" w:ascii="宋体" w:hAnsi="宋体" w:cs="宋体"/>
                <w:kern w:val="0"/>
                <w:sz w:val="18"/>
                <w:szCs w:val="18"/>
                <w:highlight w:val="none"/>
              </w:rPr>
              <w:t>（30分）</w:t>
            </w:r>
          </w:p>
        </w:tc>
        <w:tc>
          <w:tcPr>
            <w:tcW w:w="6300" w:type="dxa"/>
            <w:tcBorders>
              <w:top w:val="single" w:color="auto" w:sz="4" w:space="0"/>
              <w:left w:val="single" w:color="auto" w:sz="4" w:space="0"/>
              <w:bottom w:val="single" w:color="auto" w:sz="4" w:space="0"/>
              <w:right w:val="single" w:color="auto" w:sz="4" w:space="0"/>
            </w:tcBorders>
            <w:vAlign w:val="center"/>
          </w:tcPr>
          <w:p>
            <w:pPr>
              <w:pStyle w:val="8"/>
              <w:widowControl/>
              <w:spacing w:line="240" w:lineRule="exact"/>
              <w:jc w:val="left"/>
              <w:rPr>
                <w:rFonts w:ascii="宋体" w:hAnsi="宋体" w:cs="宋体"/>
                <w:kern w:val="0"/>
                <w:sz w:val="18"/>
                <w:szCs w:val="18"/>
                <w:highlight w:val="none"/>
              </w:rPr>
            </w:pPr>
            <w:r>
              <w:rPr>
                <w:kern w:val="0"/>
                <w:sz w:val="18"/>
                <w:szCs w:val="18"/>
                <w:highlight w:val="none"/>
              </w:rPr>
              <w:t>在我区企业当前月工资水平达到广州市上年度社会平均工资水平的2倍及以上加</w:t>
            </w:r>
            <w:r>
              <w:rPr>
                <w:rFonts w:hint="eastAsia"/>
                <w:kern w:val="0"/>
                <w:sz w:val="18"/>
                <w:szCs w:val="18"/>
                <w:highlight w:val="none"/>
              </w:rPr>
              <w:t>5</w:t>
            </w:r>
            <w:r>
              <w:rPr>
                <w:kern w:val="0"/>
                <w:sz w:val="18"/>
                <w:szCs w:val="18"/>
                <w:highlight w:val="none"/>
              </w:rPr>
              <w:t>分，达到广州市上年度社会平均工资水平的3倍及以上加</w:t>
            </w:r>
            <w:r>
              <w:rPr>
                <w:rFonts w:hint="eastAsia"/>
                <w:kern w:val="0"/>
                <w:sz w:val="18"/>
                <w:szCs w:val="18"/>
                <w:highlight w:val="none"/>
              </w:rPr>
              <w:t>10</w:t>
            </w:r>
            <w:r>
              <w:rPr>
                <w:kern w:val="0"/>
                <w:sz w:val="18"/>
                <w:szCs w:val="18"/>
                <w:highlight w:val="none"/>
              </w:rPr>
              <w:t>分</w:t>
            </w:r>
            <w:r>
              <w:rPr>
                <w:rFonts w:hint="eastAsia"/>
                <w:kern w:val="0"/>
                <w:sz w:val="18"/>
                <w:szCs w:val="18"/>
                <w:highlight w:val="none"/>
              </w:rPr>
              <w:t>，</w:t>
            </w:r>
            <w:r>
              <w:rPr>
                <w:kern w:val="0"/>
                <w:sz w:val="18"/>
                <w:szCs w:val="18"/>
                <w:highlight w:val="none"/>
              </w:rPr>
              <w:t>达到广州市上年度社会平均工资水平的</w:t>
            </w:r>
            <w:r>
              <w:rPr>
                <w:rFonts w:hint="eastAsia"/>
                <w:kern w:val="0"/>
                <w:sz w:val="18"/>
                <w:szCs w:val="18"/>
                <w:highlight w:val="none"/>
              </w:rPr>
              <w:t>4</w:t>
            </w:r>
            <w:r>
              <w:rPr>
                <w:kern w:val="0"/>
                <w:sz w:val="18"/>
                <w:szCs w:val="18"/>
                <w:highlight w:val="none"/>
              </w:rPr>
              <w:t>倍及以上加</w:t>
            </w:r>
            <w:r>
              <w:rPr>
                <w:rFonts w:hint="eastAsia"/>
                <w:kern w:val="0"/>
                <w:sz w:val="18"/>
                <w:szCs w:val="18"/>
                <w:highlight w:val="none"/>
              </w:rPr>
              <w:t>20</w:t>
            </w:r>
            <w:r>
              <w:rPr>
                <w:kern w:val="0"/>
                <w:sz w:val="18"/>
                <w:szCs w:val="18"/>
                <w:highlight w:val="none"/>
              </w:rPr>
              <w:t>分</w:t>
            </w:r>
            <w:r>
              <w:rPr>
                <w:rFonts w:hint="eastAsia"/>
                <w:kern w:val="0"/>
                <w:sz w:val="18"/>
                <w:szCs w:val="18"/>
                <w:highlight w:val="none"/>
              </w:rPr>
              <w:t>，</w:t>
            </w:r>
            <w:r>
              <w:rPr>
                <w:kern w:val="0"/>
                <w:sz w:val="18"/>
                <w:szCs w:val="18"/>
                <w:highlight w:val="none"/>
              </w:rPr>
              <w:t>达到广州市上年度社会平均工资水平的</w:t>
            </w:r>
            <w:r>
              <w:rPr>
                <w:rFonts w:hint="eastAsia"/>
                <w:kern w:val="0"/>
                <w:sz w:val="18"/>
                <w:szCs w:val="18"/>
                <w:highlight w:val="none"/>
              </w:rPr>
              <w:t>5</w:t>
            </w:r>
            <w:r>
              <w:rPr>
                <w:kern w:val="0"/>
                <w:sz w:val="18"/>
                <w:szCs w:val="18"/>
                <w:highlight w:val="none"/>
              </w:rPr>
              <w:t>倍及以上加</w:t>
            </w:r>
            <w:r>
              <w:rPr>
                <w:rFonts w:hint="eastAsia"/>
                <w:kern w:val="0"/>
                <w:sz w:val="18"/>
                <w:szCs w:val="18"/>
                <w:highlight w:val="none"/>
              </w:rPr>
              <w:t>30</w:t>
            </w:r>
            <w:r>
              <w:rPr>
                <w:kern w:val="0"/>
                <w:sz w:val="18"/>
                <w:szCs w:val="18"/>
                <w:highlight w:val="none"/>
              </w:rPr>
              <w:t>分。</w:t>
            </w:r>
          </w:p>
        </w:tc>
        <w:tc>
          <w:tcPr>
            <w:tcW w:w="3960" w:type="dxa"/>
            <w:tcBorders>
              <w:top w:val="single" w:color="auto" w:sz="4" w:space="0"/>
              <w:left w:val="single" w:color="auto" w:sz="4" w:space="0"/>
              <w:bottom w:val="single" w:color="auto" w:sz="4" w:space="0"/>
              <w:right w:val="single" w:color="auto" w:sz="4" w:space="0"/>
            </w:tcBorders>
            <w:vAlign w:val="center"/>
          </w:tcPr>
          <w:p>
            <w:pPr>
              <w:pStyle w:val="8"/>
              <w:widowControl/>
              <w:spacing w:line="240" w:lineRule="exact"/>
              <w:jc w:val="left"/>
              <w:rPr>
                <w:rFonts w:ascii="宋体" w:hAnsi="宋体" w:cs="宋体"/>
                <w:kern w:val="0"/>
                <w:sz w:val="18"/>
                <w:szCs w:val="18"/>
                <w:highlight w:val="none"/>
              </w:rPr>
            </w:pPr>
            <w:r>
              <w:rPr>
                <w:kern w:val="0"/>
                <w:sz w:val="18"/>
                <w:szCs w:val="18"/>
                <w:highlight w:val="none"/>
              </w:rPr>
              <w:t>以个人</w:t>
            </w:r>
            <w:r>
              <w:rPr>
                <w:rFonts w:hint="eastAsia"/>
                <w:kern w:val="0"/>
                <w:sz w:val="18"/>
                <w:szCs w:val="18"/>
                <w:highlight w:val="none"/>
              </w:rPr>
              <w:t>个税申报基数为准（提供</w:t>
            </w:r>
            <w:r>
              <w:rPr>
                <w:rFonts w:hint="eastAsia"/>
                <w:kern w:val="0"/>
                <w:sz w:val="18"/>
                <w:szCs w:val="18"/>
                <w:highlight w:val="none"/>
                <w:lang w:eastAsia="zh-CN"/>
              </w:rPr>
              <w:t>相关年度个人所得纳税记录和</w:t>
            </w:r>
            <w:r>
              <w:rPr>
                <w:rFonts w:hint="eastAsia"/>
                <w:kern w:val="0"/>
                <w:sz w:val="18"/>
                <w:szCs w:val="18"/>
                <w:highlight w:val="none"/>
                <w:lang w:val="en-US" w:eastAsia="zh-CN"/>
              </w:rPr>
              <w:t>自然人税收管理系统扣缴客户端查询截图</w:t>
            </w:r>
            <w:r>
              <w:rPr>
                <w:rFonts w:hint="eastAsia"/>
                <w:kern w:val="0"/>
                <w:sz w:val="18"/>
                <w:szCs w:val="18"/>
                <w:highlight w:val="none"/>
              </w:rPr>
              <w:t>）。广州市上年度社会平均工资为</w:t>
            </w:r>
            <w:r>
              <w:rPr>
                <w:rFonts w:hint="eastAsia"/>
                <w:kern w:val="0"/>
                <w:sz w:val="18"/>
                <w:szCs w:val="18"/>
                <w:highlight w:val="none"/>
                <w:lang w:val="en-US" w:eastAsia="zh-CN"/>
              </w:rPr>
              <w:t>11262</w:t>
            </w:r>
            <w:r>
              <w:rPr>
                <w:rFonts w:hint="eastAsia"/>
                <w:kern w:val="0"/>
                <w:sz w:val="18"/>
                <w:szCs w:val="18"/>
                <w:highlight w:val="none"/>
              </w:rPr>
              <w:t>元</w:t>
            </w:r>
            <w:r>
              <w:rPr>
                <w:rFonts w:hint="eastAsia"/>
                <w:kern w:val="0"/>
                <w:sz w:val="18"/>
                <w:szCs w:val="18"/>
                <w:highlight w:val="none"/>
                <w:lang w:eastAsia="zh-CN"/>
              </w:rPr>
              <w:t>（</w:t>
            </w:r>
            <w:r>
              <w:rPr>
                <w:rFonts w:hint="eastAsia"/>
                <w:kern w:val="0"/>
                <w:sz w:val="18"/>
                <w:szCs w:val="18"/>
                <w:highlight w:val="none"/>
                <w:lang w:val="en-US" w:eastAsia="zh-CN"/>
              </w:rPr>
              <w:t>月平均工资</w:t>
            </w:r>
            <w:r>
              <w:rPr>
                <w:rFonts w:hint="eastAsia"/>
                <w:kern w:val="0"/>
                <w:sz w:val="18"/>
                <w:szCs w:val="18"/>
                <w:highlight w:val="none"/>
                <w:lang w:eastAsia="zh-CN"/>
              </w:rPr>
              <w:t>）</w:t>
            </w:r>
            <w:r>
              <w:rPr>
                <w:rFonts w:hint="eastAsia"/>
                <w:kern w:val="0"/>
                <w:sz w:val="18"/>
                <w:szCs w:val="18"/>
                <w:highlight w:val="none"/>
              </w:rPr>
              <w:t>。</w:t>
            </w:r>
          </w:p>
        </w:tc>
        <w:tc>
          <w:tcPr>
            <w:tcW w:w="720" w:type="dxa"/>
            <w:tcBorders>
              <w:top w:val="single" w:color="auto" w:sz="4" w:space="0"/>
              <w:left w:val="single" w:color="auto" w:sz="4" w:space="0"/>
              <w:bottom w:val="single" w:color="auto" w:sz="4" w:space="0"/>
              <w:right w:val="single" w:color="auto" w:sz="4" w:space="0"/>
            </w:tcBorders>
            <w:vAlign w:val="center"/>
          </w:tcPr>
          <w:p>
            <w:pPr>
              <w:pStyle w:val="8"/>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　</w:t>
            </w:r>
          </w:p>
        </w:tc>
        <w:tc>
          <w:tcPr>
            <w:tcW w:w="720" w:type="dxa"/>
            <w:tcBorders>
              <w:top w:val="single" w:color="auto" w:sz="4" w:space="0"/>
              <w:left w:val="single" w:color="auto" w:sz="4" w:space="0"/>
              <w:bottom w:val="single" w:color="auto" w:sz="4" w:space="0"/>
              <w:right w:val="single" w:color="auto" w:sz="4" w:space="0"/>
            </w:tcBorders>
          </w:tcPr>
          <w:p>
            <w:pPr>
              <w:pStyle w:val="8"/>
              <w:widowControl/>
              <w:spacing w:line="240" w:lineRule="exact"/>
              <w:jc w:val="center"/>
              <w:rPr>
                <w:rFonts w:ascii="宋体" w:hAnsi="宋体" w:cs="宋体"/>
                <w:kern w:val="0"/>
                <w:sz w:val="18"/>
                <w:szCs w:val="18"/>
                <w:highlight w:val="none"/>
              </w:rPr>
            </w:pPr>
          </w:p>
        </w:tc>
        <w:tc>
          <w:tcPr>
            <w:tcW w:w="720" w:type="dxa"/>
            <w:tcBorders>
              <w:top w:val="single" w:color="auto" w:sz="4" w:space="0"/>
              <w:left w:val="single" w:color="auto" w:sz="4" w:space="0"/>
              <w:bottom w:val="single" w:color="auto" w:sz="4" w:space="0"/>
              <w:right w:val="single" w:color="auto" w:sz="4" w:space="0"/>
            </w:tcBorders>
          </w:tcPr>
          <w:p>
            <w:pPr>
              <w:pStyle w:val="8"/>
              <w:widowControl/>
              <w:spacing w:line="240" w:lineRule="exact"/>
              <w:jc w:val="center"/>
              <w:rPr>
                <w:rFonts w:ascii="宋体" w:hAnsi="宋体" w:cs="宋体"/>
                <w:kern w:val="0"/>
                <w:sz w:val="18"/>
                <w:szCs w:val="18"/>
                <w:highlight w:val="none"/>
              </w:rPr>
            </w:pPr>
          </w:p>
        </w:tc>
        <w:tc>
          <w:tcPr>
            <w:tcW w:w="808" w:type="dxa"/>
            <w:tcBorders>
              <w:top w:val="single" w:color="auto" w:sz="4" w:space="0"/>
              <w:left w:val="single" w:color="auto" w:sz="4" w:space="0"/>
              <w:bottom w:val="single" w:color="auto" w:sz="4" w:space="0"/>
              <w:right w:val="single" w:color="auto" w:sz="4" w:space="0"/>
            </w:tcBorders>
            <w:vAlign w:val="center"/>
          </w:tcPr>
          <w:p>
            <w:pPr>
              <w:pStyle w:val="8"/>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911" w:hRule="atLeast"/>
          <w:jc w:val="center"/>
        </w:trPr>
        <w:tc>
          <w:tcPr>
            <w:tcW w:w="917" w:type="dxa"/>
            <w:vMerge w:val="continue"/>
            <w:tcBorders>
              <w:top w:val="single" w:color="auto" w:sz="4" w:space="0"/>
              <w:left w:val="single" w:color="auto" w:sz="4" w:space="0"/>
              <w:bottom w:val="single" w:color="auto" w:sz="4" w:space="0"/>
              <w:right w:val="single" w:color="auto" w:sz="4" w:space="0"/>
            </w:tcBorders>
            <w:vAlign w:val="center"/>
          </w:tcPr>
          <w:p>
            <w:pPr>
              <w:pStyle w:val="8"/>
              <w:widowControl/>
              <w:spacing w:line="240" w:lineRule="exact"/>
              <w:jc w:val="left"/>
              <w:rPr>
                <w:rFonts w:ascii="宋体" w:hAnsi="宋体" w:cs="宋体"/>
                <w:kern w:val="0"/>
                <w:sz w:val="18"/>
                <w:szCs w:val="18"/>
                <w:highlight w:val="none"/>
              </w:rPr>
            </w:pPr>
          </w:p>
        </w:tc>
        <w:tc>
          <w:tcPr>
            <w:tcW w:w="992" w:type="dxa"/>
            <w:tcBorders>
              <w:top w:val="single" w:color="auto" w:sz="4" w:space="0"/>
              <w:left w:val="single" w:color="auto" w:sz="4" w:space="0"/>
              <w:bottom w:val="single" w:color="auto" w:sz="4" w:space="0"/>
              <w:right w:val="single" w:color="auto" w:sz="4" w:space="0"/>
            </w:tcBorders>
            <w:vAlign w:val="center"/>
          </w:tcPr>
          <w:p>
            <w:pPr>
              <w:pStyle w:val="8"/>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2.服务年限（20分）</w:t>
            </w:r>
          </w:p>
        </w:tc>
        <w:tc>
          <w:tcPr>
            <w:tcW w:w="6300" w:type="dxa"/>
            <w:tcBorders>
              <w:top w:val="single" w:color="auto" w:sz="4" w:space="0"/>
              <w:left w:val="single" w:color="auto" w:sz="4" w:space="0"/>
              <w:bottom w:val="single" w:color="auto" w:sz="4" w:space="0"/>
              <w:right w:val="single" w:color="auto" w:sz="4" w:space="0"/>
            </w:tcBorders>
            <w:vAlign w:val="center"/>
          </w:tcPr>
          <w:p>
            <w:pPr>
              <w:pStyle w:val="8"/>
              <w:widowControl/>
              <w:spacing w:line="240" w:lineRule="exact"/>
              <w:jc w:val="left"/>
              <w:rPr>
                <w:rFonts w:ascii="宋体" w:hAnsi="宋体" w:cs="宋体"/>
                <w:kern w:val="0"/>
                <w:sz w:val="18"/>
                <w:szCs w:val="18"/>
                <w:highlight w:val="none"/>
              </w:rPr>
            </w:pPr>
            <w:r>
              <w:rPr>
                <w:rFonts w:hint="eastAsia" w:ascii="宋体" w:hAnsi="宋体" w:cs="宋体"/>
                <w:kern w:val="0"/>
                <w:sz w:val="18"/>
                <w:szCs w:val="18"/>
                <w:highlight w:val="none"/>
              </w:rPr>
              <w:t>10年以上</w:t>
            </w:r>
            <w:r>
              <w:rPr>
                <w:rFonts w:hint="eastAsia" w:ascii="宋体" w:hAnsi="宋体" w:cs="宋体"/>
                <w:kern w:val="0"/>
                <w:sz w:val="18"/>
                <w:szCs w:val="18"/>
                <w:highlight w:val="none"/>
                <w:lang w:eastAsia="zh-CN"/>
              </w:rPr>
              <w:t>（</w:t>
            </w:r>
            <w:r>
              <w:rPr>
                <w:rFonts w:hint="eastAsia" w:ascii="宋体" w:hAnsi="宋体" w:cs="宋体"/>
                <w:kern w:val="0"/>
                <w:sz w:val="18"/>
                <w:szCs w:val="18"/>
                <w:highlight w:val="none"/>
                <w:lang w:val="en-US" w:eastAsia="zh-CN"/>
              </w:rPr>
              <w:t>含</w:t>
            </w:r>
            <w:r>
              <w:rPr>
                <w:rFonts w:hint="eastAsia" w:ascii="宋体" w:hAnsi="宋体" w:cs="宋体"/>
                <w:kern w:val="0"/>
                <w:sz w:val="18"/>
                <w:szCs w:val="18"/>
                <w:highlight w:val="none"/>
                <w:lang w:eastAsia="zh-CN"/>
              </w:rPr>
              <w:t>）</w:t>
            </w:r>
            <w:r>
              <w:rPr>
                <w:rFonts w:hint="eastAsia" w:ascii="宋体" w:hAnsi="宋体" w:cs="宋体"/>
                <w:kern w:val="0"/>
                <w:sz w:val="18"/>
                <w:szCs w:val="18"/>
                <w:highlight w:val="none"/>
              </w:rPr>
              <w:t>【20分】  9年【18分】   8年【16分】   7年【14分】   6年【12分】 5年【10分】  4年【8分】  3年【6分】  2年以下【4分】</w:t>
            </w:r>
          </w:p>
        </w:tc>
        <w:tc>
          <w:tcPr>
            <w:tcW w:w="3960" w:type="dxa"/>
            <w:tcBorders>
              <w:top w:val="single" w:color="auto" w:sz="4" w:space="0"/>
              <w:left w:val="single" w:color="auto" w:sz="4" w:space="0"/>
              <w:bottom w:val="single" w:color="auto" w:sz="4" w:space="0"/>
              <w:right w:val="single" w:color="auto" w:sz="4" w:space="0"/>
            </w:tcBorders>
            <w:vAlign w:val="center"/>
          </w:tcPr>
          <w:p>
            <w:pPr>
              <w:pStyle w:val="8"/>
              <w:widowControl/>
              <w:spacing w:line="240" w:lineRule="exact"/>
              <w:jc w:val="left"/>
              <w:rPr>
                <w:rFonts w:ascii="宋体" w:hAnsi="宋体" w:cs="宋体"/>
                <w:kern w:val="0"/>
                <w:sz w:val="18"/>
                <w:szCs w:val="18"/>
                <w:highlight w:val="none"/>
              </w:rPr>
            </w:pPr>
            <w:r>
              <w:rPr>
                <w:rFonts w:hint="eastAsia" w:ascii="宋体" w:hAnsi="宋体" w:cs="宋体"/>
                <w:kern w:val="0"/>
                <w:sz w:val="18"/>
                <w:szCs w:val="18"/>
                <w:highlight w:val="none"/>
                <w:lang w:eastAsia="zh-CN"/>
              </w:rPr>
              <w:t>骨干</w:t>
            </w:r>
            <w:r>
              <w:rPr>
                <w:rFonts w:hint="eastAsia" w:ascii="宋体" w:hAnsi="宋体" w:cs="宋体"/>
                <w:kern w:val="0"/>
                <w:sz w:val="18"/>
                <w:szCs w:val="18"/>
                <w:highlight w:val="none"/>
              </w:rPr>
              <w:t>人才在</w:t>
            </w:r>
            <w:r>
              <w:rPr>
                <w:rFonts w:hint="eastAsia" w:ascii="宋体" w:hAnsi="宋体" w:cs="宋体"/>
                <w:kern w:val="0"/>
                <w:sz w:val="18"/>
                <w:szCs w:val="18"/>
                <w:highlight w:val="none"/>
                <w:lang w:eastAsia="zh-CN"/>
              </w:rPr>
              <w:t>参评</w:t>
            </w:r>
            <w:r>
              <w:rPr>
                <w:rFonts w:hint="eastAsia" w:ascii="宋体" w:hAnsi="宋体" w:cs="宋体"/>
                <w:kern w:val="0"/>
                <w:sz w:val="18"/>
                <w:szCs w:val="18"/>
                <w:highlight w:val="none"/>
              </w:rPr>
              <w:t>单位的</w:t>
            </w:r>
            <w:r>
              <w:rPr>
                <w:rFonts w:hint="eastAsia" w:ascii="宋体" w:hAnsi="宋体" w:cs="宋体"/>
                <w:kern w:val="0"/>
                <w:sz w:val="18"/>
                <w:szCs w:val="18"/>
              </w:rPr>
              <w:t>以养老保险缴费年限计算</w:t>
            </w:r>
            <w:r>
              <w:rPr>
                <w:rFonts w:hint="eastAsia" w:ascii="宋体" w:hAnsi="宋体" w:cs="宋体"/>
                <w:kern w:val="0"/>
                <w:sz w:val="18"/>
                <w:szCs w:val="18"/>
                <w:highlight w:val="none"/>
                <w:lang w:eastAsia="zh-CN"/>
              </w:rPr>
              <w:t>，</w:t>
            </w:r>
            <w:r>
              <w:rPr>
                <w:rFonts w:hint="eastAsia" w:ascii="宋体" w:hAnsi="宋体" w:cs="宋体"/>
                <w:kern w:val="0"/>
                <w:sz w:val="18"/>
                <w:szCs w:val="18"/>
                <w:highlight w:val="none"/>
              </w:rPr>
              <w:t>统计时间截至</w:t>
            </w:r>
            <w:r>
              <w:rPr>
                <w:rFonts w:hint="eastAsia" w:ascii="宋体" w:hAnsi="宋体" w:cs="宋体"/>
                <w:kern w:val="0"/>
                <w:sz w:val="18"/>
                <w:szCs w:val="18"/>
                <w:highlight w:val="none"/>
                <w:lang w:val="en-US" w:eastAsia="zh-CN"/>
              </w:rPr>
              <w:t>通知发布之日</w:t>
            </w:r>
            <w:r>
              <w:rPr>
                <w:rFonts w:hint="eastAsia" w:ascii="宋体" w:hAnsi="宋体" w:cs="宋体"/>
                <w:kern w:val="0"/>
                <w:sz w:val="18"/>
                <w:szCs w:val="18"/>
                <w:highlight w:val="none"/>
              </w:rPr>
              <w:t>。</w:t>
            </w:r>
            <w:r>
              <w:rPr>
                <w:rFonts w:hint="eastAsia" w:ascii="宋体" w:hAnsi="宋体" w:cs="宋体"/>
                <w:kern w:val="0"/>
                <w:sz w:val="18"/>
                <w:szCs w:val="18"/>
              </w:rPr>
              <w:t>超过整数年的多余月份计算方法：不足6个月的，只计算已有的整年数；6个月（含）以上的，按1年计算。如9年5个月，算作9年；9年6个月，算作10年。需提供涉及年限的所有社保明细。具体工作年限（*年*月）在备注栏注明。</w:t>
            </w:r>
          </w:p>
        </w:tc>
        <w:tc>
          <w:tcPr>
            <w:tcW w:w="720" w:type="dxa"/>
            <w:tcBorders>
              <w:top w:val="single" w:color="auto" w:sz="4" w:space="0"/>
              <w:left w:val="single" w:color="auto" w:sz="4" w:space="0"/>
              <w:bottom w:val="single" w:color="auto" w:sz="4" w:space="0"/>
              <w:right w:val="single" w:color="auto" w:sz="4" w:space="0"/>
            </w:tcBorders>
            <w:vAlign w:val="center"/>
          </w:tcPr>
          <w:p>
            <w:pPr>
              <w:pStyle w:val="8"/>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　</w:t>
            </w:r>
          </w:p>
        </w:tc>
        <w:tc>
          <w:tcPr>
            <w:tcW w:w="720" w:type="dxa"/>
            <w:tcBorders>
              <w:top w:val="single" w:color="auto" w:sz="4" w:space="0"/>
              <w:left w:val="single" w:color="auto" w:sz="4" w:space="0"/>
              <w:bottom w:val="single" w:color="auto" w:sz="4" w:space="0"/>
              <w:right w:val="single" w:color="auto" w:sz="4" w:space="0"/>
            </w:tcBorders>
          </w:tcPr>
          <w:p>
            <w:pPr>
              <w:pStyle w:val="8"/>
              <w:widowControl/>
              <w:spacing w:line="240" w:lineRule="exact"/>
              <w:jc w:val="center"/>
              <w:rPr>
                <w:rFonts w:ascii="宋体" w:hAnsi="宋体" w:cs="宋体"/>
                <w:kern w:val="0"/>
                <w:sz w:val="18"/>
                <w:szCs w:val="18"/>
                <w:highlight w:val="none"/>
              </w:rPr>
            </w:pPr>
          </w:p>
        </w:tc>
        <w:tc>
          <w:tcPr>
            <w:tcW w:w="720" w:type="dxa"/>
            <w:tcBorders>
              <w:top w:val="single" w:color="auto" w:sz="4" w:space="0"/>
              <w:left w:val="single" w:color="auto" w:sz="4" w:space="0"/>
              <w:bottom w:val="single" w:color="auto" w:sz="4" w:space="0"/>
              <w:right w:val="single" w:color="auto" w:sz="4" w:space="0"/>
            </w:tcBorders>
          </w:tcPr>
          <w:p>
            <w:pPr>
              <w:pStyle w:val="8"/>
              <w:widowControl/>
              <w:spacing w:line="240" w:lineRule="exact"/>
              <w:jc w:val="center"/>
              <w:rPr>
                <w:rFonts w:ascii="宋体" w:hAnsi="宋体" w:cs="宋体"/>
                <w:kern w:val="0"/>
                <w:sz w:val="18"/>
                <w:szCs w:val="18"/>
                <w:highlight w:val="none"/>
              </w:rPr>
            </w:pPr>
          </w:p>
        </w:tc>
        <w:tc>
          <w:tcPr>
            <w:tcW w:w="808" w:type="dxa"/>
            <w:tcBorders>
              <w:top w:val="single" w:color="auto" w:sz="4" w:space="0"/>
              <w:left w:val="single" w:color="auto" w:sz="4" w:space="0"/>
              <w:bottom w:val="single" w:color="auto" w:sz="4" w:space="0"/>
              <w:right w:val="single" w:color="auto" w:sz="4" w:space="0"/>
            </w:tcBorders>
            <w:vAlign w:val="center"/>
          </w:tcPr>
          <w:p>
            <w:pPr>
              <w:pStyle w:val="8"/>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571" w:hRule="atLeast"/>
          <w:jc w:val="center"/>
        </w:trPr>
        <w:tc>
          <w:tcPr>
            <w:tcW w:w="917" w:type="dxa"/>
            <w:vMerge w:val="continue"/>
            <w:tcBorders>
              <w:top w:val="single" w:color="auto" w:sz="4" w:space="0"/>
              <w:left w:val="single" w:color="auto" w:sz="4" w:space="0"/>
              <w:bottom w:val="single" w:color="auto" w:sz="4" w:space="0"/>
              <w:right w:val="single" w:color="auto" w:sz="4" w:space="0"/>
            </w:tcBorders>
            <w:vAlign w:val="center"/>
          </w:tcPr>
          <w:p>
            <w:pPr>
              <w:pStyle w:val="8"/>
              <w:widowControl/>
              <w:spacing w:line="240" w:lineRule="exact"/>
              <w:jc w:val="left"/>
              <w:rPr>
                <w:rFonts w:ascii="宋体" w:hAnsi="宋体" w:cs="宋体"/>
                <w:kern w:val="0"/>
                <w:sz w:val="18"/>
                <w:szCs w:val="18"/>
                <w:highlight w:val="none"/>
              </w:rPr>
            </w:pPr>
          </w:p>
        </w:tc>
        <w:tc>
          <w:tcPr>
            <w:tcW w:w="992" w:type="dxa"/>
            <w:tcBorders>
              <w:top w:val="single" w:color="auto" w:sz="4" w:space="0"/>
              <w:left w:val="single" w:color="auto" w:sz="4" w:space="0"/>
              <w:bottom w:val="single" w:color="auto" w:sz="4" w:space="0"/>
              <w:right w:val="single" w:color="auto" w:sz="4" w:space="0"/>
            </w:tcBorders>
            <w:vAlign w:val="center"/>
          </w:tcPr>
          <w:p>
            <w:pPr>
              <w:pStyle w:val="8"/>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3.国家职业资格（50分）</w:t>
            </w:r>
          </w:p>
        </w:tc>
        <w:tc>
          <w:tcPr>
            <w:tcW w:w="6300" w:type="dxa"/>
            <w:tcBorders>
              <w:top w:val="single" w:color="auto" w:sz="4" w:space="0"/>
              <w:left w:val="single" w:color="auto" w:sz="4" w:space="0"/>
              <w:bottom w:val="single" w:color="auto" w:sz="4" w:space="0"/>
              <w:right w:val="single" w:color="auto" w:sz="4" w:space="0"/>
            </w:tcBorders>
            <w:vAlign w:val="center"/>
          </w:tcPr>
          <w:p>
            <w:pPr>
              <w:pStyle w:val="8"/>
              <w:widowControl/>
              <w:spacing w:line="240" w:lineRule="exact"/>
              <w:jc w:val="left"/>
              <w:rPr>
                <w:rFonts w:ascii="宋体" w:hAnsi="宋体" w:cs="宋体"/>
                <w:kern w:val="0"/>
                <w:sz w:val="18"/>
                <w:szCs w:val="18"/>
                <w:highlight w:val="none"/>
              </w:rPr>
            </w:pPr>
            <w:r>
              <w:rPr>
                <w:rFonts w:hint="eastAsia" w:ascii="宋体" w:hAnsi="宋体" w:cs="宋体"/>
                <w:kern w:val="0"/>
                <w:sz w:val="18"/>
                <w:szCs w:val="18"/>
                <w:highlight w:val="none"/>
              </w:rPr>
              <w:t>正高职称/高级技师【50分】   副高职称/技师【40分】   中级职称/高级工【30分】  初级职称/中级工【20分】</w:t>
            </w:r>
          </w:p>
        </w:tc>
        <w:tc>
          <w:tcPr>
            <w:tcW w:w="3960" w:type="dxa"/>
            <w:tcBorders>
              <w:top w:val="single" w:color="auto" w:sz="4" w:space="0"/>
              <w:left w:val="single" w:color="auto" w:sz="4" w:space="0"/>
              <w:bottom w:val="single" w:color="auto" w:sz="4" w:space="0"/>
              <w:right w:val="single" w:color="auto" w:sz="4" w:space="0"/>
            </w:tcBorders>
            <w:vAlign w:val="center"/>
          </w:tcPr>
          <w:p>
            <w:pPr>
              <w:pStyle w:val="8"/>
              <w:widowControl/>
              <w:spacing w:line="240" w:lineRule="exact"/>
              <w:jc w:val="left"/>
              <w:rPr>
                <w:rFonts w:ascii="宋体" w:hAnsi="宋体" w:cs="宋体"/>
                <w:kern w:val="0"/>
                <w:sz w:val="18"/>
                <w:szCs w:val="18"/>
                <w:highlight w:val="none"/>
              </w:rPr>
            </w:pPr>
            <w:r>
              <w:rPr>
                <w:rFonts w:hint="eastAsia" w:ascii="宋体" w:hAnsi="宋体" w:cs="宋体"/>
                <w:kern w:val="0"/>
                <w:sz w:val="18"/>
                <w:szCs w:val="18"/>
                <w:highlight w:val="none"/>
              </w:rPr>
              <w:t>在备注栏注明证书</w:t>
            </w:r>
            <w:r>
              <w:rPr>
                <w:rFonts w:hint="eastAsia" w:ascii="宋体" w:hAnsi="宋体" w:cs="宋体"/>
                <w:kern w:val="0"/>
                <w:sz w:val="18"/>
                <w:szCs w:val="18"/>
                <w:highlight w:val="none"/>
                <w:lang w:eastAsia="zh-CN"/>
              </w:rPr>
              <w:t>名称</w:t>
            </w:r>
            <w:r>
              <w:rPr>
                <w:rFonts w:hint="eastAsia" w:ascii="宋体" w:hAnsi="宋体" w:cs="宋体"/>
                <w:kern w:val="0"/>
                <w:sz w:val="18"/>
                <w:szCs w:val="18"/>
                <w:highlight w:val="none"/>
              </w:rPr>
              <w:t>等级。</w:t>
            </w:r>
          </w:p>
        </w:tc>
        <w:tc>
          <w:tcPr>
            <w:tcW w:w="720" w:type="dxa"/>
            <w:tcBorders>
              <w:top w:val="single" w:color="auto" w:sz="4" w:space="0"/>
              <w:left w:val="single" w:color="auto" w:sz="4" w:space="0"/>
              <w:bottom w:val="single" w:color="auto" w:sz="4" w:space="0"/>
              <w:right w:val="single" w:color="auto" w:sz="4" w:space="0"/>
            </w:tcBorders>
            <w:vAlign w:val="center"/>
          </w:tcPr>
          <w:p>
            <w:pPr>
              <w:pStyle w:val="8"/>
              <w:widowControl/>
              <w:spacing w:line="240" w:lineRule="exact"/>
              <w:jc w:val="center"/>
              <w:rPr>
                <w:rFonts w:ascii="宋体" w:hAnsi="宋体" w:cs="宋体"/>
                <w:kern w:val="0"/>
                <w:sz w:val="18"/>
                <w:szCs w:val="18"/>
                <w:highlight w:val="none"/>
              </w:rPr>
            </w:pPr>
          </w:p>
        </w:tc>
        <w:tc>
          <w:tcPr>
            <w:tcW w:w="720" w:type="dxa"/>
            <w:tcBorders>
              <w:top w:val="single" w:color="auto" w:sz="4" w:space="0"/>
              <w:left w:val="single" w:color="auto" w:sz="4" w:space="0"/>
              <w:bottom w:val="single" w:color="auto" w:sz="4" w:space="0"/>
              <w:right w:val="single" w:color="auto" w:sz="4" w:space="0"/>
            </w:tcBorders>
          </w:tcPr>
          <w:p>
            <w:pPr>
              <w:pStyle w:val="8"/>
              <w:widowControl/>
              <w:spacing w:line="240" w:lineRule="exact"/>
              <w:jc w:val="center"/>
              <w:rPr>
                <w:rFonts w:ascii="宋体" w:hAnsi="宋体" w:cs="宋体"/>
                <w:kern w:val="0"/>
                <w:sz w:val="18"/>
                <w:szCs w:val="18"/>
                <w:highlight w:val="none"/>
              </w:rPr>
            </w:pPr>
          </w:p>
        </w:tc>
        <w:tc>
          <w:tcPr>
            <w:tcW w:w="720" w:type="dxa"/>
            <w:tcBorders>
              <w:top w:val="single" w:color="auto" w:sz="4" w:space="0"/>
              <w:left w:val="single" w:color="auto" w:sz="4" w:space="0"/>
              <w:bottom w:val="single" w:color="auto" w:sz="4" w:space="0"/>
              <w:right w:val="single" w:color="auto" w:sz="4" w:space="0"/>
            </w:tcBorders>
          </w:tcPr>
          <w:p>
            <w:pPr>
              <w:pStyle w:val="8"/>
              <w:widowControl/>
              <w:spacing w:line="240" w:lineRule="exact"/>
              <w:jc w:val="center"/>
              <w:rPr>
                <w:rFonts w:ascii="宋体" w:hAnsi="宋体" w:cs="宋体"/>
                <w:kern w:val="0"/>
                <w:sz w:val="18"/>
                <w:szCs w:val="18"/>
                <w:highlight w:val="none"/>
              </w:rPr>
            </w:pPr>
          </w:p>
        </w:tc>
        <w:tc>
          <w:tcPr>
            <w:tcW w:w="808" w:type="dxa"/>
            <w:tcBorders>
              <w:top w:val="single" w:color="auto" w:sz="4" w:space="0"/>
              <w:left w:val="single" w:color="auto" w:sz="4" w:space="0"/>
              <w:bottom w:val="single" w:color="auto" w:sz="4" w:space="0"/>
              <w:right w:val="single" w:color="auto" w:sz="4" w:space="0"/>
            </w:tcBorders>
            <w:vAlign w:val="center"/>
          </w:tcPr>
          <w:p>
            <w:pPr>
              <w:pStyle w:val="8"/>
              <w:widowControl/>
              <w:spacing w:line="240" w:lineRule="exact"/>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860" w:hRule="atLeast"/>
          <w:jc w:val="center"/>
        </w:trPr>
        <w:tc>
          <w:tcPr>
            <w:tcW w:w="917" w:type="dxa"/>
            <w:vMerge w:val="continue"/>
            <w:tcBorders>
              <w:top w:val="single" w:color="auto" w:sz="4" w:space="0"/>
              <w:left w:val="single" w:color="auto" w:sz="4" w:space="0"/>
              <w:bottom w:val="single" w:color="auto" w:sz="4" w:space="0"/>
              <w:right w:val="single" w:color="auto" w:sz="4" w:space="0"/>
            </w:tcBorders>
            <w:vAlign w:val="center"/>
          </w:tcPr>
          <w:p>
            <w:pPr>
              <w:pStyle w:val="8"/>
              <w:widowControl/>
              <w:spacing w:line="240" w:lineRule="exact"/>
              <w:jc w:val="left"/>
              <w:rPr>
                <w:rFonts w:ascii="宋体" w:hAnsi="宋体" w:cs="宋体"/>
                <w:kern w:val="0"/>
                <w:sz w:val="18"/>
                <w:szCs w:val="18"/>
                <w:highlight w:val="none"/>
              </w:rPr>
            </w:pPr>
          </w:p>
        </w:tc>
        <w:tc>
          <w:tcPr>
            <w:tcW w:w="992" w:type="dxa"/>
            <w:tcBorders>
              <w:top w:val="single" w:color="auto" w:sz="4" w:space="0"/>
              <w:left w:val="single" w:color="auto" w:sz="4" w:space="0"/>
              <w:bottom w:val="single" w:color="auto" w:sz="4" w:space="0"/>
              <w:right w:val="single" w:color="auto" w:sz="4" w:space="0"/>
            </w:tcBorders>
            <w:vAlign w:val="center"/>
          </w:tcPr>
          <w:p>
            <w:pPr>
              <w:pStyle w:val="8"/>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4</w:t>
            </w:r>
            <w:r>
              <w:rPr>
                <w:rFonts w:hint="eastAsia" w:ascii="宋体" w:hAnsi="宋体" w:cs="宋体"/>
                <w:kern w:val="0"/>
                <w:sz w:val="18"/>
                <w:szCs w:val="18"/>
                <w:highlight w:val="none"/>
              </w:rPr>
              <w:t>.获得专利授权（20分）</w:t>
            </w:r>
          </w:p>
        </w:tc>
        <w:tc>
          <w:tcPr>
            <w:tcW w:w="6300" w:type="dxa"/>
            <w:tcBorders>
              <w:top w:val="single" w:color="auto" w:sz="4" w:space="0"/>
              <w:left w:val="single" w:color="auto" w:sz="4" w:space="0"/>
              <w:bottom w:val="single" w:color="auto" w:sz="4" w:space="0"/>
              <w:right w:val="single" w:color="auto" w:sz="4" w:space="0"/>
            </w:tcBorders>
            <w:vAlign w:val="center"/>
          </w:tcPr>
          <w:p>
            <w:pPr>
              <w:pStyle w:val="8"/>
              <w:widowControl/>
              <w:spacing w:line="240" w:lineRule="exact"/>
              <w:jc w:val="left"/>
              <w:rPr>
                <w:rFonts w:hint="eastAsia" w:ascii="宋体" w:hAnsi="宋体" w:cs="宋体"/>
                <w:kern w:val="0"/>
                <w:sz w:val="18"/>
                <w:szCs w:val="18"/>
                <w:highlight w:val="none"/>
              </w:rPr>
            </w:pPr>
            <w:r>
              <w:rPr>
                <w:rFonts w:hint="eastAsia" w:ascii="宋体" w:hAnsi="宋体" w:cs="宋体"/>
                <w:kern w:val="0"/>
                <w:sz w:val="18"/>
                <w:szCs w:val="18"/>
                <w:highlight w:val="none"/>
              </w:rPr>
              <w:t>发明</w:t>
            </w:r>
            <w:r>
              <w:rPr>
                <w:rFonts w:hint="eastAsia" w:ascii="宋体" w:hAnsi="宋体" w:cs="宋体"/>
                <w:kern w:val="0"/>
                <w:sz w:val="18"/>
                <w:szCs w:val="18"/>
                <w:highlight w:val="none"/>
                <w:lang w:val="en-US" w:eastAsia="zh-CN"/>
              </w:rPr>
              <w:t>或</w:t>
            </w:r>
            <w:r>
              <w:rPr>
                <w:rFonts w:hint="eastAsia" w:ascii="宋体" w:hAnsi="宋体" w:cs="宋体"/>
                <w:kern w:val="0"/>
                <w:sz w:val="18"/>
                <w:szCs w:val="18"/>
                <w:highlight w:val="none"/>
              </w:rPr>
              <w:t>实用新型专利</w:t>
            </w:r>
            <w:r>
              <w:rPr>
                <w:rFonts w:hint="eastAsia" w:ascii="宋体" w:hAnsi="宋体" w:cs="宋体"/>
                <w:kern w:val="0"/>
                <w:sz w:val="18"/>
                <w:szCs w:val="18"/>
                <w:highlight w:val="none"/>
                <w:lang w:val="en-US" w:eastAsia="zh-CN"/>
              </w:rPr>
              <w:t>发明人排名</w:t>
            </w:r>
            <w:r>
              <w:rPr>
                <w:rFonts w:hint="eastAsia" w:ascii="宋体" w:hAnsi="宋体" w:cs="宋体"/>
                <w:kern w:val="0"/>
                <w:sz w:val="18"/>
                <w:szCs w:val="18"/>
                <w:highlight w:val="none"/>
              </w:rPr>
              <w:t>前3</w:t>
            </w:r>
            <w:r>
              <w:rPr>
                <w:rFonts w:hint="eastAsia" w:ascii="宋体" w:hAnsi="宋体" w:cs="宋体"/>
                <w:kern w:val="0"/>
                <w:sz w:val="18"/>
                <w:szCs w:val="18"/>
                <w:highlight w:val="none"/>
                <w:lang w:val="en-US" w:eastAsia="zh-CN"/>
              </w:rPr>
              <w:t>位的</w:t>
            </w:r>
            <w:r>
              <w:rPr>
                <w:rFonts w:hint="eastAsia" w:ascii="宋体" w:hAnsi="宋体" w:cs="宋体"/>
                <w:kern w:val="0"/>
                <w:sz w:val="18"/>
                <w:szCs w:val="18"/>
                <w:highlight w:val="none"/>
              </w:rPr>
              <w:t>人员【20分】发明</w:t>
            </w:r>
            <w:r>
              <w:rPr>
                <w:rFonts w:hint="eastAsia" w:ascii="宋体" w:hAnsi="宋体" w:cs="宋体"/>
                <w:kern w:val="0"/>
                <w:sz w:val="18"/>
                <w:szCs w:val="18"/>
                <w:highlight w:val="none"/>
                <w:lang w:val="en-US" w:eastAsia="zh-CN"/>
              </w:rPr>
              <w:t>或</w:t>
            </w:r>
            <w:r>
              <w:rPr>
                <w:rFonts w:hint="eastAsia" w:ascii="宋体" w:hAnsi="宋体" w:cs="宋体"/>
                <w:kern w:val="0"/>
                <w:sz w:val="18"/>
                <w:szCs w:val="18"/>
                <w:highlight w:val="none"/>
              </w:rPr>
              <w:t>实用新型专利证书</w:t>
            </w:r>
            <w:r>
              <w:rPr>
                <w:rFonts w:hint="eastAsia" w:ascii="宋体" w:hAnsi="宋体" w:cs="宋体"/>
                <w:kern w:val="0"/>
                <w:sz w:val="18"/>
                <w:szCs w:val="18"/>
                <w:highlight w:val="none"/>
                <w:lang w:val="en-US" w:eastAsia="zh-CN"/>
              </w:rPr>
              <w:t>发明人排名</w:t>
            </w:r>
            <w:r>
              <w:rPr>
                <w:rFonts w:hint="eastAsia" w:ascii="宋体" w:hAnsi="宋体" w:cs="宋体"/>
                <w:kern w:val="0"/>
                <w:sz w:val="18"/>
                <w:szCs w:val="18"/>
                <w:highlight w:val="none"/>
              </w:rPr>
              <w:t>前4-6名人员【10分】</w:t>
            </w:r>
          </w:p>
        </w:tc>
        <w:tc>
          <w:tcPr>
            <w:tcW w:w="3960" w:type="dxa"/>
            <w:tcBorders>
              <w:top w:val="single" w:color="auto" w:sz="4" w:space="0"/>
              <w:left w:val="single" w:color="auto" w:sz="4" w:space="0"/>
              <w:bottom w:val="single" w:color="auto" w:sz="4" w:space="0"/>
              <w:right w:val="single" w:color="auto" w:sz="4" w:space="0"/>
            </w:tcBorders>
            <w:vAlign w:val="center"/>
          </w:tcPr>
          <w:p>
            <w:pPr>
              <w:pStyle w:val="8"/>
              <w:widowControl/>
              <w:spacing w:line="240" w:lineRule="exact"/>
              <w:jc w:val="left"/>
              <w:rPr>
                <w:rFonts w:hint="eastAsia" w:ascii="宋体" w:hAnsi="宋体" w:cs="宋体"/>
                <w:kern w:val="0"/>
                <w:sz w:val="18"/>
                <w:szCs w:val="18"/>
                <w:highlight w:val="none"/>
              </w:rPr>
            </w:pPr>
            <w:r>
              <w:rPr>
                <w:rFonts w:hint="eastAsia" w:ascii="宋体" w:hAnsi="宋体" w:cs="宋体"/>
                <w:kern w:val="0"/>
                <w:sz w:val="18"/>
                <w:szCs w:val="18"/>
                <w:highlight w:val="none"/>
              </w:rPr>
              <w:t>仅发明和实用新型两类专利适用，外观设计类专利不得分。</w:t>
            </w:r>
            <w:r>
              <w:rPr>
                <w:rFonts w:hint="eastAsia" w:ascii="宋体" w:hAnsi="宋体" w:cs="宋体"/>
                <w:b/>
                <w:bCs/>
                <w:kern w:val="0"/>
                <w:sz w:val="18"/>
                <w:szCs w:val="18"/>
                <w:highlight w:val="none"/>
              </w:rPr>
              <w:t>统计时间内的多项专利可累计得分</w:t>
            </w:r>
            <w:r>
              <w:rPr>
                <w:rFonts w:hint="eastAsia" w:ascii="宋体" w:hAnsi="宋体" w:cs="宋体"/>
                <w:kern w:val="0"/>
                <w:sz w:val="18"/>
                <w:szCs w:val="18"/>
                <w:highlight w:val="none"/>
              </w:rPr>
              <w:t>，但每项专利只能申请计分一次。</w:t>
            </w:r>
          </w:p>
        </w:tc>
        <w:tc>
          <w:tcPr>
            <w:tcW w:w="720" w:type="dxa"/>
            <w:tcBorders>
              <w:top w:val="single" w:color="auto" w:sz="4" w:space="0"/>
              <w:left w:val="single" w:color="auto" w:sz="4" w:space="0"/>
              <w:bottom w:val="single" w:color="auto" w:sz="4" w:space="0"/>
              <w:right w:val="single" w:color="auto" w:sz="4" w:space="0"/>
            </w:tcBorders>
            <w:vAlign w:val="center"/>
          </w:tcPr>
          <w:p>
            <w:pPr>
              <w:pStyle w:val="8"/>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　</w:t>
            </w:r>
          </w:p>
        </w:tc>
        <w:tc>
          <w:tcPr>
            <w:tcW w:w="720" w:type="dxa"/>
            <w:tcBorders>
              <w:top w:val="single" w:color="auto" w:sz="4" w:space="0"/>
              <w:left w:val="single" w:color="auto" w:sz="4" w:space="0"/>
              <w:bottom w:val="single" w:color="auto" w:sz="4" w:space="0"/>
              <w:right w:val="single" w:color="auto" w:sz="4" w:space="0"/>
            </w:tcBorders>
            <w:vAlign w:val="top"/>
          </w:tcPr>
          <w:p>
            <w:pPr>
              <w:pStyle w:val="8"/>
              <w:widowControl/>
              <w:spacing w:line="240" w:lineRule="exact"/>
              <w:jc w:val="center"/>
              <w:rPr>
                <w:rFonts w:ascii="宋体" w:hAnsi="宋体" w:cs="宋体"/>
                <w:kern w:val="0"/>
                <w:sz w:val="18"/>
                <w:szCs w:val="18"/>
                <w:highlight w:val="none"/>
              </w:rPr>
            </w:pPr>
          </w:p>
        </w:tc>
        <w:tc>
          <w:tcPr>
            <w:tcW w:w="720" w:type="dxa"/>
            <w:tcBorders>
              <w:top w:val="single" w:color="auto" w:sz="4" w:space="0"/>
              <w:left w:val="single" w:color="auto" w:sz="4" w:space="0"/>
              <w:bottom w:val="single" w:color="auto" w:sz="4" w:space="0"/>
              <w:right w:val="single" w:color="auto" w:sz="4" w:space="0"/>
            </w:tcBorders>
            <w:vAlign w:val="top"/>
          </w:tcPr>
          <w:p>
            <w:pPr>
              <w:pStyle w:val="8"/>
              <w:widowControl/>
              <w:spacing w:line="240" w:lineRule="exact"/>
              <w:jc w:val="center"/>
              <w:rPr>
                <w:rFonts w:ascii="宋体" w:hAnsi="宋体" w:cs="宋体"/>
                <w:kern w:val="0"/>
                <w:sz w:val="18"/>
                <w:szCs w:val="18"/>
                <w:highlight w:val="none"/>
              </w:rPr>
            </w:pPr>
          </w:p>
        </w:tc>
        <w:tc>
          <w:tcPr>
            <w:tcW w:w="808" w:type="dxa"/>
            <w:tcBorders>
              <w:top w:val="single" w:color="auto" w:sz="4" w:space="0"/>
              <w:left w:val="single" w:color="auto" w:sz="4" w:space="0"/>
              <w:bottom w:val="single" w:color="auto" w:sz="4" w:space="0"/>
              <w:right w:val="single" w:color="auto" w:sz="4" w:space="0"/>
            </w:tcBorders>
            <w:vAlign w:val="center"/>
          </w:tcPr>
          <w:p>
            <w:pPr>
              <w:pStyle w:val="8"/>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571" w:hRule="atLeast"/>
          <w:jc w:val="center"/>
        </w:trPr>
        <w:tc>
          <w:tcPr>
            <w:tcW w:w="917" w:type="dxa"/>
            <w:vMerge w:val="continue"/>
            <w:tcBorders>
              <w:top w:val="single" w:color="auto" w:sz="4" w:space="0"/>
              <w:left w:val="single" w:color="auto" w:sz="4" w:space="0"/>
              <w:bottom w:val="single" w:color="auto" w:sz="4" w:space="0"/>
              <w:right w:val="single" w:color="auto" w:sz="4" w:space="0"/>
            </w:tcBorders>
            <w:vAlign w:val="center"/>
          </w:tcPr>
          <w:p>
            <w:pPr>
              <w:pStyle w:val="8"/>
              <w:widowControl/>
              <w:spacing w:line="240" w:lineRule="exact"/>
              <w:jc w:val="left"/>
              <w:rPr>
                <w:rFonts w:ascii="宋体" w:hAnsi="宋体" w:cs="宋体"/>
                <w:kern w:val="0"/>
                <w:sz w:val="18"/>
                <w:szCs w:val="18"/>
                <w:highlight w:val="none"/>
              </w:rPr>
            </w:pPr>
          </w:p>
        </w:tc>
        <w:tc>
          <w:tcPr>
            <w:tcW w:w="992" w:type="dxa"/>
            <w:tcBorders>
              <w:top w:val="single" w:color="auto" w:sz="4" w:space="0"/>
              <w:left w:val="single" w:color="auto" w:sz="4" w:space="0"/>
              <w:bottom w:val="single" w:color="auto" w:sz="4" w:space="0"/>
              <w:right w:val="single" w:color="auto" w:sz="4" w:space="0"/>
            </w:tcBorders>
            <w:vAlign w:val="center"/>
          </w:tcPr>
          <w:p>
            <w:pPr>
              <w:pStyle w:val="8"/>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5</w:t>
            </w:r>
            <w:r>
              <w:rPr>
                <w:rFonts w:hint="eastAsia" w:ascii="宋体" w:hAnsi="宋体" w:cs="宋体"/>
                <w:kern w:val="0"/>
                <w:sz w:val="18"/>
                <w:szCs w:val="18"/>
                <w:highlight w:val="none"/>
              </w:rPr>
              <w:t>.</w:t>
            </w:r>
            <w:r>
              <w:rPr>
                <w:rFonts w:hint="eastAsia" w:ascii="宋体" w:hAnsi="宋体" w:cs="宋体"/>
                <w:kern w:val="0"/>
                <w:sz w:val="18"/>
                <w:szCs w:val="18"/>
                <w:highlight w:val="none"/>
                <w:lang w:val="en-US" w:eastAsia="zh-CN"/>
              </w:rPr>
              <w:t>制定</w:t>
            </w:r>
            <w:r>
              <w:rPr>
                <w:rFonts w:hint="eastAsia" w:ascii="宋体" w:hAnsi="宋体" w:cs="宋体"/>
                <w:kern w:val="0"/>
                <w:sz w:val="18"/>
                <w:szCs w:val="18"/>
                <w:highlight w:val="none"/>
              </w:rPr>
              <w:t>技术标准（100分）</w:t>
            </w:r>
          </w:p>
        </w:tc>
        <w:tc>
          <w:tcPr>
            <w:tcW w:w="6300" w:type="dxa"/>
            <w:tcBorders>
              <w:top w:val="single" w:color="auto" w:sz="4" w:space="0"/>
              <w:left w:val="single" w:color="auto" w:sz="4" w:space="0"/>
              <w:bottom w:val="single" w:color="auto" w:sz="4" w:space="0"/>
              <w:right w:val="single" w:color="auto" w:sz="4" w:space="0"/>
            </w:tcBorders>
            <w:vAlign w:val="center"/>
          </w:tcPr>
          <w:p>
            <w:pPr>
              <w:pStyle w:val="8"/>
              <w:widowControl/>
              <w:spacing w:line="240" w:lineRule="exact"/>
              <w:jc w:val="left"/>
              <w:rPr>
                <w:rFonts w:hint="eastAsia" w:ascii="宋体" w:hAnsi="宋体" w:cs="宋体"/>
                <w:kern w:val="0"/>
                <w:sz w:val="18"/>
                <w:szCs w:val="18"/>
                <w:highlight w:val="none"/>
              </w:rPr>
            </w:pPr>
            <w:r>
              <w:rPr>
                <w:rFonts w:hint="eastAsia" w:ascii="宋体" w:hAnsi="宋体" w:cs="宋体"/>
                <w:kern w:val="0"/>
                <w:sz w:val="18"/>
                <w:szCs w:val="18"/>
                <w:highlight w:val="none"/>
              </w:rPr>
              <w:t>参与编制国家或行业技术标准</w:t>
            </w:r>
            <w:r>
              <w:rPr>
                <w:rFonts w:hint="eastAsia" w:ascii="宋体" w:hAnsi="宋体" w:cs="宋体"/>
                <w:kern w:val="0"/>
                <w:sz w:val="18"/>
                <w:szCs w:val="18"/>
                <w:highlight w:val="none"/>
                <w:lang w:val="en-US" w:eastAsia="zh-CN"/>
              </w:rPr>
              <w:t>制定</w:t>
            </w:r>
            <w:r>
              <w:rPr>
                <w:rFonts w:hint="eastAsia" w:ascii="宋体" w:hAnsi="宋体" w:cs="宋体"/>
                <w:kern w:val="0"/>
                <w:sz w:val="18"/>
                <w:szCs w:val="18"/>
                <w:highlight w:val="none"/>
              </w:rPr>
              <w:t>【100分】参与编制地方技术标准</w:t>
            </w:r>
            <w:r>
              <w:rPr>
                <w:rFonts w:hint="eastAsia" w:ascii="宋体" w:hAnsi="宋体" w:cs="宋体"/>
                <w:kern w:val="0"/>
                <w:sz w:val="18"/>
                <w:szCs w:val="18"/>
                <w:highlight w:val="none"/>
                <w:lang w:val="en-US" w:eastAsia="zh-CN"/>
              </w:rPr>
              <w:t>制定</w:t>
            </w:r>
            <w:r>
              <w:rPr>
                <w:rFonts w:hint="eastAsia" w:ascii="宋体" w:hAnsi="宋体" w:cs="宋体"/>
                <w:kern w:val="0"/>
                <w:sz w:val="18"/>
                <w:szCs w:val="18"/>
                <w:highlight w:val="none"/>
              </w:rPr>
              <w:t>【60分】负责编制企业技术标准</w:t>
            </w:r>
            <w:r>
              <w:rPr>
                <w:rFonts w:hint="eastAsia" w:ascii="宋体" w:hAnsi="宋体" w:cs="宋体"/>
                <w:kern w:val="0"/>
                <w:sz w:val="18"/>
                <w:szCs w:val="18"/>
                <w:highlight w:val="none"/>
                <w:lang w:val="en-US" w:eastAsia="zh-CN"/>
              </w:rPr>
              <w:t>制定</w:t>
            </w:r>
            <w:r>
              <w:rPr>
                <w:rFonts w:hint="eastAsia" w:ascii="宋体" w:hAnsi="宋体" w:cs="宋体"/>
                <w:kern w:val="0"/>
                <w:sz w:val="18"/>
                <w:szCs w:val="18"/>
                <w:highlight w:val="none"/>
              </w:rPr>
              <w:t>（限起草人排名前2名人员）【20分】</w:t>
            </w:r>
          </w:p>
        </w:tc>
        <w:tc>
          <w:tcPr>
            <w:tcW w:w="3960" w:type="dxa"/>
            <w:tcBorders>
              <w:top w:val="single" w:color="auto" w:sz="4" w:space="0"/>
              <w:left w:val="single" w:color="auto" w:sz="4" w:space="0"/>
              <w:bottom w:val="single" w:color="auto" w:sz="4" w:space="0"/>
              <w:right w:val="single" w:color="auto" w:sz="4" w:space="0"/>
            </w:tcBorders>
            <w:vAlign w:val="center"/>
          </w:tcPr>
          <w:p>
            <w:pPr>
              <w:pStyle w:val="8"/>
              <w:widowControl/>
              <w:spacing w:line="240" w:lineRule="exact"/>
              <w:jc w:val="left"/>
              <w:rPr>
                <w:rFonts w:hint="eastAsia" w:ascii="宋体" w:hAnsi="宋体" w:cs="宋体"/>
                <w:kern w:val="0"/>
                <w:sz w:val="18"/>
                <w:szCs w:val="18"/>
                <w:highlight w:val="none"/>
              </w:rPr>
            </w:pPr>
            <w:r>
              <w:rPr>
                <w:rFonts w:hint="eastAsia" w:ascii="宋体" w:hAnsi="宋体" w:cs="宋体"/>
                <w:kern w:val="0"/>
                <w:sz w:val="18"/>
                <w:szCs w:val="18"/>
                <w:highlight w:val="none"/>
              </w:rPr>
              <w:t>①仅</w:t>
            </w:r>
            <w:r>
              <w:rPr>
                <w:rFonts w:hint="eastAsia" w:ascii="宋体" w:hAnsi="宋体" w:cs="宋体"/>
                <w:kern w:val="0"/>
                <w:sz w:val="18"/>
                <w:szCs w:val="18"/>
                <w:highlight w:val="none"/>
                <w:lang w:val="en-US" w:eastAsia="zh-CN"/>
              </w:rPr>
              <w:t>限</w:t>
            </w:r>
            <w:r>
              <w:rPr>
                <w:rFonts w:hint="eastAsia" w:ascii="宋体" w:hAnsi="宋体" w:cs="宋体"/>
                <w:kern w:val="0"/>
                <w:sz w:val="18"/>
                <w:szCs w:val="18"/>
                <w:highlight w:val="none"/>
              </w:rPr>
              <w:t>编制技术标准和管理标准</w:t>
            </w:r>
            <w:r>
              <w:rPr>
                <w:rFonts w:hint="eastAsia" w:ascii="宋体" w:hAnsi="宋体" w:cs="宋体"/>
                <w:kern w:val="0"/>
                <w:sz w:val="18"/>
                <w:szCs w:val="18"/>
                <w:highlight w:val="none"/>
                <w:lang w:val="en-US" w:eastAsia="zh-CN"/>
              </w:rPr>
              <w:t>的制定</w:t>
            </w:r>
            <w:r>
              <w:rPr>
                <w:rFonts w:hint="eastAsia" w:ascii="宋体" w:hAnsi="宋体" w:cs="宋体"/>
                <w:kern w:val="0"/>
                <w:sz w:val="18"/>
                <w:szCs w:val="18"/>
                <w:highlight w:val="none"/>
              </w:rPr>
              <w:t>，</w:t>
            </w:r>
            <w:r>
              <w:rPr>
                <w:rFonts w:hint="eastAsia" w:ascii="宋体" w:hAnsi="宋体" w:cs="宋体"/>
                <w:kern w:val="0"/>
                <w:sz w:val="18"/>
                <w:szCs w:val="18"/>
                <w:highlight w:val="none"/>
                <w:lang w:val="en-US" w:eastAsia="zh-CN"/>
              </w:rPr>
              <w:t>其他如</w:t>
            </w:r>
            <w:r>
              <w:rPr>
                <w:rFonts w:hint="eastAsia" w:ascii="宋体" w:hAnsi="宋体" w:cs="宋体"/>
                <w:kern w:val="0"/>
                <w:sz w:val="18"/>
                <w:szCs w:val="18"/>
                <w:highlight w:val="none"/>
              </w:rPr>
              <w:t>工作标准</w:t>
            </w:r>
            <w:r>
              <w:rPr>
                <w:rFonts w:hint="eastAsia" w:ascii="宋体" w:hAnsi="宋体" w:cs="宋体"/>
                <w:kern w:val="0"/>
                <w:sz w:val="18"/>
                <w:szCs w:val="18"/>
                <w:highlight w:val="none"/>
                <w:lang w:val="en-US" w:eastAsia="zh-CN"/>
              </w:rPr>
              <w:t>的制定</w:t>
            </w:r>
            <w:r>
              <w:rPr>
                <w:rFonts w:hint="eastAsia" w:ascii="宋体" w:hAnsi="宋体" w:cs="宋体"/>
                <w:kern w:val="0"/>
                <w:sz w:val="18"/>
                <w:szCs w:val="18"/>
                <w:highlight w:val="none"/>
              </w:rPr>
              <w:t>不得分。②编制技术标准需经当地标准化行政主管部门或标委会</w:t>
            </w:r>
            <w:r>
              <w:rPr>
                <w:rFonts w:hint="eastAsia" w:ascii="宋体" w:hAnsi="宋体" w:cs="宋体"/>
                <w:kern w:val="0"/>
                <w:sz w:val="18"/>
                <w:szCs w:val="18"/>
                <w:highlight w:val="none"/>
                <w:lang w:val="en-US" w:eastAsia="zh-CN"/>
              </w:rPr>
              <w:t>的</w:t>
            </w:r>
            <w:r>
              <w:rPr>
                <w:rFonts w:hint="eastAsia" w:ascii="宋体" w:hAnsi="宋体" w:cs="宋体"/>
                <w:kern w:val="0"/>
                <w:sz w:val="18"/>
                <w:szCs w:val="18"/>
                <w:highlight w:val="none"/>
              </w:rPr>
              <w:t>批复和备案（有相关批复文件和公开发布的技术文本）</w:t>
            </w:r>
            <w:r>
              <w:rPr>
                <w:rFonts w:hint="eastAsia" w:ascii="宋体" w:hAnsi="宋体" w:cs="宋体"/>
                <w:kern w:val="0"/>
                <w:sz w:val="18"/>
                <w:szCs w:val="18"/>
                <w:highlight w:val="none"/>
                <w:lang w:eastAsia="zh-CN"/>
              </w:rPr>
              <w:t>或官网查询截图</w:t>
            </w:r>
            <w:r>
              <w:rPr>
                <w:rFonts w:hint="eastAsia" w:ascii="宋体" w:hAnsi="宋体" w:cs="宋体"/>
                <w:kern w:val="0"/>
                <w:sz w:val="18"/>
                <w:szCs w:val="18"/>
                <w:highlight w:val="none"/>
              </w:rPr>
              <w:t>。③仅将上级标准转化成同等企业标准的不得分。④统计时间内编制多项技术标准</w:t>
            </w:r>
            <w:r>
              <w:rPr>
                <w:rFonts w:hint="eastAsia" w:ascii="宋体" w:hAnsi="宋体" w:cs="宋体"/>
                <w:kern w:val="0"/>
                <w:sz w:val="18"/>
                <w:szCs w:val="18"/>
                <w:highlight w:val="none"/>
                <w:lang w:val="en-US" w:eastAsia="zh-CN"/>
              </w:rPr>
              <w:t>的</w:t>
            </w:r>
            <w:r>
              <w:rPr>
                <w:rFonts w:hint="eastAsia" w:ascii="宋体" w:hAnsi="宋体" w:cs="宋体"/>
                <w:kern w:val="0"/>
                <w:sz w:val="18"/>
                <w:szCs w:val="18"/>
                <w:highlight w:val="none"/>
              </w:rPr>
              <w:t>可累计得分，但每项技术标准只能申请计分一次。</w:t>
            </w:r>
          </w:p>
        </w:tc>
        <w:tc>
          <w:tcPr>
            <w:tcW w:w="720" w:type="dxa"/>
            <w:tcBorders>
              <w:top w:val="single" w:color="auto" w:sz="4" w:space="0"/>
              <w:left w:val="single" w:color="auto" w:sz="4" w:space="0"/>
              <w:bottom w:val="single" w:color="auto" w:sz="4" w:space="0"/>
              <w:right w:val="single" w:color="auto" w:sz="4" w:space="0"/>
            </w:tcBorders>
            <w:vAlign w:val="center"/>
          </w:tcPr>
          <w:p>
            <w:pPr>
              <w:pStyle w:val="8"/>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　</w:t>
            </w:r>
          </w:p>
        </w:tc>
        <w:tc>
          <w:tcPr>
            <w:tcW w:w="720" w:type="dxa"/>
            <w:tcBorders>
              <w:top w:val="single" w:color="auto" w:sz="4" w:space="0"/>
              <w:left w:val="single" w:color="auto" w:sz="4" w:space="0"/>
              <w:bottom w:val="single" w:color="auto" w:sz="4" w:space="0"/>
              <w:right w:val="single" w:color="auto" w:sz="4" w:space="0"/>
            </w:tcBorders>
            <w:vAlign w:val="top"/>
          </w:tcPr>
          <w:p>
            <w:pPr>
              <w:pStyle w:val="8"/>
              <w:widowControl/>
              <w:spacing w:line="240" w:lineRule="exact"/>
              <w:jc w:val="center"/>
              <w:rPr>
                <w:rFonts w:ascii="宋体" w:hAnsi="宋体" w:cs="宋体"/>
                <w:kern w:val="0"/>
                <w:sz w:val="18"/>
                <w:szCs w:val="18"/>
                <w:highlight w:val="none"/>
              </w:rPr>
            </w:pPr>
          </w:p>
        </w:tc>
        <w:tc>
          <w:tcPr>
            <w:tcW w:w="720" w:type="dxa"/>
            <w:tcBorders>
              <w:top w:val="single" w:color="auto" w:sz="4" w:space="0"/>
              <w:left w:val="single" w:color="auto" w:sz="4" w:space="0"/>
              <w:bottom w:val="single" w:color="auto" w:sz="4" w:space="0"/>
              <w:right w:val="single" w:color="auto" w:sz="4" w:space="0"/>
            </w:tcBorders>
            <w:vAlign w:val="top"/>
          </w:tcPr>
          <w:p>
            <w:pPr>
              <w:pStyle w:val="8"/>
              <w:widowControl/>
              <w:spacing w:line="240" w:lineRule="exact"/>
              <w:jc w:val="center"/>
              <w:rPr>
                <w:rFonts w:ascii="宋体" w:hAnsi="宋体" w:cs="宋体"/>
                <w:kern w:val="0"/>
                <w:sz w:val="18"/>
                <w:szCs w:val="18"/>
                <w:highlight w:val="none"/>
              </w:rPr>
            </w:pPr>
          </w:p>
        </w:tc>
        <w:tc>
          <w:tcPr>
            <w:tcW w:w="808" w:type="dxa"/>
            <w:tcBorders>
              <w:top w:val="single" w:color="auto" w:sz="4" w:space="0"/>
              <w:left w:val="single" w:color="auto" w:sz="4" w:space="0"/>
              <w:bottom w:val="single" w:color="auto" w:sz="4" w:space="0"/>
              <w:right w:val="single" w:color="auto" w:sz="4" w:space="0"/>
            </w:tcBorders>
            <w:vAlign w:val="center"/>
          </w:tcPr>
          <w:p>
            <w:pPr>
              <w:pStyle w:val="8"/>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927" w:hRule="atLeast"/>
          <w:jc w:val="center"/>
        </w:trPr>
        <w:tc>
          <w:tcPr>
            <w:tcW w:w="917" w:type="dxa"/>
            <w:vMerge w:val="continue"/>
            <w:tcBorders>
              <w:top w:val="single" w:color="auto" w:sz="4" w:space="0"/>
              <w:left w:val="single" w:color="auto" w:sz="4" w:space="0"/>
              <w:bottom w:val="nil"/>
              <w:right w:val="single" w:color="auto" w:sz="4" w:space="0"/>
            </w:tcBorders>
            <w:vAlign w:val="center"/>
          </w:tcPr>
          <w:p>
            <w:pPr>
              <w:pStyle w:val="8"/>
              <w:widowControl/>
              <w:spacing w:line="240" w:lineRule="exact"/>
              <w:jc w:val="left"/>
              <w:rPr>
                <w:rFonts w:ascii="宋体" w:hAnsi="宋体" w:cs="宋体"/>
                <w:kern w:val="0"/>
                <w:sz w:val="18"/>
                <w:szCs w:val="18"/>
                <w:highlight w:val="none"/>
              </w:rPr>
            </w:pPr>
          </w:p>
        </w:tc>
        <w:tc>
          <w:tcPr>
            <w:tcW w:w="9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lang w:val="en-US" w:eastAsia="zh-CN"/>
              </w:rPr>
              <w:t>6</w:t>
            </w:r>
            <w:r>
              <w:rPr>
                <w:rFonts w:hint="eastAsia" w:ascii="宋体" w:hAnsi="宋体" w:cs="宋体"/>
                <w:kern w:val="0"/>
                <w:sz w:val="18"/>
                <w:szCs w:val="18"/>
                <w:highlight w:val="none"/>
              </w:rPr>
              <w:t>.单位经济发展贡献（10分）</w:t>
            </w:r>
          </w:p>
        </w:tc>
        <w:tc>
          <w:tcPr>
            <w:tcW w:w="6300"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highlight w:val="none"/>
              </w:rPr>
            </w:pPr>
            <w:r>
              <w:rPr>
                <w:rFonts w:hint="eastAsia" w:ascii="宋体" w:hAnsi="宋体" w:cs="宋体"/>
                <w:kern w:val="0"/>
                <w:sz w:val="18"/>
                <w:szCs w:val="18"/>
                <w:highlight w:val="none"/>
              </w:rPr>
              <w:t>本区上年度纳税第1-50名企业的技能人才【10分】本区上年度纳税第51-100名企业的技能人才【9分】本区上年度纳税第101-150名企业的技能人才【8分】本区上年度纳税第151-200名企业的技能人才【7分】</w:t>
            </w:r>
          </w:p>
        </w:tc>
        <w:tc>
          <w:tcPr>
            <w:tcW w:w="3960" w:type="dxa"/>
            <w:tcBorders>
              <w:top w:val="single" w:color="auto" w:sz="4" w:space="0"/>
              <w:left w:val="nil"/>
              <w:bottom w:val="single" w:color="auto" w:sz="4" w:space="0"/>
              <w:right w:val="single" w:color="auto" w:sz="4" w:space="0"/>
            </w:tcBorders>
            <w:vAlign w:val="center"/>
          </w:tcPr>
          <w:p>
            <w:pPr>
              <w:pStyle w:val="8"/>
              <w:widowControl/>
              <w:spacing w:line="240" w:lineRule="exact"/>
              <w:jc w:val="left"/>
              <w:rPr>
                <w:rFonts w:ascii="宋体" w:hAnsi="宋体" w:cs="宋体"/>
                <w:kern w:val="0"/>
                <w:sz w:val="18"/>
                <w:szCs w:val="18"/>
                <w:highlight w:val="none"/>
              </w:rPr>
            </w:pPr>
            <w:r>
              <w:rPr>
                <w:rFonts w:hint="eastAsia" w:ascii="宋体" w:hAnsi="宋体" w:cs="宋体"/>
                <w:kern w:val="0"/>
                <w:sz w:val="18"/>
                <w:szCs w:val="18"/>
                <w:highlight w:val="none"/>
              </w:rPr>
              <w:t>指技术骨干所在单位上年度纳税在本区的排名</w:t>
            </w:r>
            <w:r>
              <w:rPr>
                <w:rFonts w:hint="eastAsia" w:ascii="宋体" w:hAnsi="宋体" w:cs="宋体"/>
                <w:kern w:val="0"/>
                <w:sz w:val="18"/>
                <w:szCs w:val="18"/>
                <w:highlight w:val="none"/>
                <w:lang w:eastAsia="zh-CN"/>
              </w:rPr>
              <w:t>，</w:t>
            </w:r>
            <w:r>
              <w:rPr>
                <w:rFonts w:hint="eastAsia" w:ascii="宋体" w:hAnsi="宋体" w:cs="宋体"/>
                <w:kern w:val="0"/>
                <w:sz w:val="18"/>
                <w:szCs w:val="18"/>
                <w:highlight w:val="none"/>
                <w:lang w:val="en-US" w:eastAsia="zh-CN"/>
              </w:rPr>
              <w:t>无须自评</w:t>
            </w:r>
            <w:r>
              <w:rPr>
                <w:rFonts w:hint="eastAsia" w:ascii="宋体" w:hAnsi="宋体" w:cs="宋体"/>
                <w:kern w:val="0"/>
                <w:sz w:val="18"/>
                <w:szCs w:val="18"/>
                <w:highlight w:val="none"/>
              </w:rPr>
              <w:t>。</w:t>
            </w:r>
          </w:p>
        </w:tc>
        <w:tc>
          <w:tcPr>
            <w:tcW w:w="720" w:type="dxa"/>
            <w:tcBorders>
              <w:top w:val="single" w:color="auto" w:sz="4" w:space="0"/>
              <w:left w:val="nil"/>
              <w:bottom w:val="single" w:color="auto" w:sz="4" w:space="0"/>
              <w:right w:val="single" w:color="auto" w:sz="4" w:space="0"/>
              <w:tr2bl w:val="single" w:color="auto" w:sz="4" w:space="0"/>
            </w:tcBorders>
            <w:vAlign w:val="center"/>
          </w:tcPr>
          <w:p>
            <w:pPr>
              <w:pStyle w:val="8"/>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　</w:t>
            </w:r>
          </w:p>
        </w:tc>
        <w:tc>
          <w:tcPr>
            <w:tcW w:w="720" w:type="dxa"/>
            <w:tcBorders>
              <w:top w:val="single" w:color="auto" w:sz="4" w:space="0"/>
              <w:left w:val="nil"/>
              <w:bottom w:val="single" w:color="auto" w:sz="4" w:space="0"/>
              <w:right w:val="single" w:color="auto" w:sz="4" w:space="0"/>
              <w:tr2bl w:val="single" w:color="auto" w:sz="4" w:space="0"/>
            </w:tcBorders>
          </w:tcPr>
          <w:p>
            <w:pPr>
              <w:pStyle w:val="8"/>
              <w:widowControl/>
              <w:spacing w:line="240" w:lineRule="exact"/>
              <w:jc w:val="center"/>
              <w:rPr>
                <w:rFonts w:ascii="宋体" w:hAnsi="宋体" w:cs="宋体"/>
                <w:kern w:val="0"/>
                <w:sz w:val="18"/>
                <w:szCs w:val="18"/>
                <w:highlight w:val="none"/>
              </w:rPr>
            </w:pPr>
          </w:p>
        </w:tc>
        <w:tc>
          <w:tcPr>
            <w:tcW w:w="720" w:type="dxa"/>
            <w:tcBorders>
              <w:top w:val="single" w:color="auto" w:sz="4" w:space="0"/>
              <w:left w:val="nil"/>
              <w:bottom w:val="single" w:color="auto" w:sz="4" w:space="0"/>
              <w:right w:val="single" w:color="auto" w:sz="4" w:space="0"/>
            </w:tcBorders>
          </w:tcPr>
          <w:p>
            <w:pPr>
              <w:pStyle w:val="8"/>
              <w:widowControl/>
              <w:spacing w:line="240" w:lineRule="exact"/>
              <w:jc w:val="center"/>
              <w:rPr>
                <w:rFonts w:ascii="宋体" w:hAnsi="宋体" w:cs="宋体"/>
                <w:kern w:val="0"/>
                <w:sz w:val="18"/>
                <w:szCs w:val="18"/>
                <w:highlight w:val="none"/>
              </w:rPr>
            </w:pPr>
          </w:p>
        </w:tc>
        <w:tc>
          <w:tcPr>
            <w:tcW w:w="808" w:type="dxa"/>
            <w:tcBorders>
              <w:top w:val="single" w:color="auto" w:sz="4" w:space="0"/>
              <w:left w:val="single" w:color="auto" w:sz="4" w:space="0"/>
              <w:bottom w:val="single" w:color="auto" w:sz="4" w:space="0"/>
              <w:right w:val="single" w:color="auto" w:sz="4" w:space="0"/>
            </w:tcBorders>
            <w:vAlign w:val="center"/>
          </w:tcPr>
          <w:p>
            <w:pPr>
              <w:pStyle w:val="8"/>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1240" w:hRule="atLeast"/>
          <w:jc w:val="center"/>
        </w:trPr>
        <w:tc>
          <w:tcPr>
            <w:tcW w:w="917" w:type="dxa"/>
            <w:vMerge w:val="continue"/>
            <w:tcBorders>
              <w:top w:val="nil"/>
              <w:left w:val="single" w:color="auto" w:sz="4" w:space="0"/>
              <w:bottom w:val="nil"/>
              <w:right w:val="single" w:color="auto" w:sz="4" w:space="0"/>
            </w:tcBorders>
            <w:vAlign w:val="center"/>
          </w:tcPr>
          <w:p>
            <w:pPr>
              <w:pStyle w:val="8"/>
              <w:widowControl/>
              <w:spacing w:line="240" w:lineRule="exact"/>
              <w:jc w:val="left"/>
              <w:rPr>
                <w:rFonts w:ascii="宋体" w:hAnsi="宋体" w:cs="宋体"/>
                <w:kern w:val="0"/>
                <w:sz w:val="18"/>
                <w:szCs w:val="18"/>
                <w:highlight w:val="none"/>
              </w:rPr>
            </w:pPr>
          </w:p>
        </w:tc>
        <w:tc>
          <w:tcPr>
            <w:tcW w:w="992" w:type="dxa"/>
            <w:tcBorders>
              <w:top w:val="nil"/>
              <w:left w:val="nil"/>
              <w:bottom w:val="single" w:color="auto" w:sz="4" w:space="0"/>
              <w:right w:val="single" w:color="auto" w:sz="4" w:space="0"/>
            </w:tcBorders>
            <w:vAlign w:val="center"/>
          </w:tcPr>
          <w:p>
            <w:pPr>
              <w:pStyle w:val="8"/>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7.获得其他相关奖励（50分）</w:t>
            </w:r>
          </w:p>
        </w:tc>
        <w:tc>
          <w:tcPr>
            <w:tcW w:w="6300" w:type="dxa"/>
            <w:tcBorders>
              <w:top w:val="nil"/>
              <w:left w:val="nil"/>
              <w:bottom w:val="single" w:color="auto" w:sz="4" w:space="0"/>
              <w:right w:val="single" w:color="auto" w:sz="4" w:space="0"/>
            </w:tcBorders>
            <w:vAlign w:val="center"/>
          </w:tcPr>
          <w:p>
            <w:pPr>
              <w:pStyle w:val="8"/>
              <w:widowControl/>
              <w:spacing w:line="240" w:lineRule="exact"/>
              <w:jc w:val="left"/>
              <w:rPr>
                <w:rFonts w:ascii="宋体" w:hAnsi="宋体" w:cs="宋体"/>
                <w:kern w:val="0"/>
                <w:sz w:val="18"/>
                <w:szCs w:val="18"/>
                <w:highlight w:val="none"/>
              </w:rPr>
            </w:pPr>
            <w:r>
              <w:rPr>
                <w:rFonts w:hint="eastAsia" w:ascii="宋体" w:hAnsi="宋体" w:cs="宋体"/>
                <w:kern w:val="0"/>
                <w:sz w:val="18"/>
                <w:szCs w:val="18"/>
                <w:highlight w:val="none"/>
              </w:rPr>
              <w:t>国家级表彰或奖励【50分】  省级表彰或奖励【30分】  市级表彰或奖励【20分】   区级表彰或奖励【</w:t>
            </w:r>
            <w:r>
              <w:rPr>
                <w:rFonts w:hint="eastAsia" w:ascii="宋体" w:hAnsi="宋体" w:cs="宋体"/>
                <w:kern w:val="0"/>
                <w:sz w:val="18"/>
                <w:szCs w:val="18"/>
                <w:highlight w:val="none"/>
                <w:lang w:val="en-US" w:eastAsia="zh-CN"/>
              </w:rPr>
              <w:t>1</w:t>
            </w:r>
            <w:r>
              <w:rPr>
                <w:rFonts w:hint="eastAsia" w:ascii="宋体" w:hAnsi="宋体" w:cs="宋体"/>
                <w:kern w:val="0"/>
                <w:sz w:val="18"/>
                <w:szCs w:val="18"/>
                <w:highlight w:val="none"/>
              </w:rPr>
              <w:t>0分】</w:t>
            </w:r>
          </w:p>
        </w:tc>
        <w:tc>
          <w:tcPr>
            <w:tcW w:w="3960" w:type="dxa"/>
            <w:tcBorders>
              <w:top w:val="nil"/>
              <w:left w:val="nil"/>
              <w:bottom w:val="single" w:color="auto" w:sz="4" w:space="0"/>
              <w:right w:val="single" w:color="auto" w:sz="4" w:space="0"/>
            </w:tcBorders>
            <w:vAlign w:val="center"/>
          </w:tcPr>
          <w:p>
            <w:pPr>
              <w:pStyle w:val="8"/>
              <w:widowControl/>
              <w:spacing w:line="240" w:lineRule="exact"/>
              <w:jc w:val="left"/>
              <w:rPr>
                <w:rFonts w:ascii="宋体" w:hAnsi="宋体" w:cs="宋体"/>
                <w:kern w:val="0"/>
                <w:sz w:val="18"/>
                <w:szCs w:val="18"/>
                <w:highlight w:val="none"/>
              </w:rPr>
            </w:pPr>
            <w:r>
              <w:rPr>
                <w:rFonts w:hint="eastAsia" w:ascii="宋体" w:hAnsi="宋体" w:cs="宋体"/>
                <w:kern w:val="0"/>
                <w:sz w:val="18"/>
                <w:szCs w:val="18"/>
                <w:highlight w:val="none"/>
              </w:rPr>
              <w:t>相关荣誉指与技术或管理岗位工作相关，且由市区级以上政府部门颁发的表彰或奖励。其中部门表彰或奖励按下一级表彰或奖励计分。由行业协会、社团组织等颁发的表彰或奖励不得分。</w:t>
            </w:r>
          </w:p>
        </w:tc>
        <w:tc>
          <w:tcPr>
            <w:tcW w:w="720" w:type="dxa"/>
            <w:tcBorders>
              <w:top w:val="nil"/>
              <w:left w:val="nil"/>
              <w:bottom w:val="single" w:color="auto" w:sz="4" w:space="0"/>
              <w:right w:val="single" w:color="auto" w:sz="4" w:space="0"/>
            </w:tcBorders>
            <w:vAlign w:val="center"/>
          </w:tcPr>
          <w:p>
            <w:pPr>
              <w:pStyle w:val="8"/>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　</w:t>
            </w:r>
          </w:p>
        </w:tc>
        <w:tc>
          <w:tcPr>
            <w:tcW w:w="720" w:type="dxa"/>
            <w:tcBorders>
              <w:top w:val="single" w:color="auto" w:sz="4" w:space="0"/>
              <w:left w:val="nil"/>
              <w:bottom w:val="single" w:color="auto" w:sz="4" w:space="0"/>
              <w:right w:val="single" w:color="auto" w:sz="4" w:space="0"/>
            </w:tcBorders>
          </w:tcPr>
          <w:p>
            <w:pPr>
              <w:pStyle w:val="8"/>
              <w:widowControl/>
              <w:spacing w:line="240" w:lineRule="exact"/>
              <w:jc w:val="center"/>
              <w:rPr>
                <w:rFonts w:ascii="宋体" w:hAnsi="宋体" w:cs="宋体"/>
                <w:kern w:val="0"/>
                <w:sz w:val="18"/>
                <w:szCs w:val="18"/>
                <w:highlight w:val="none"/>
              </w:rPr>
            </w:pPr>
          </w:p>
        </w:tc>
        <w:tc>
          <w:tcPr>
            <w:tcW w:w="720" w:type="dxa"/>
            <w:tcBorders>
              <w:top w:val="single" w:color="auto" w:sz="4" w:space="0"/>
              <w:left w:val="nil"/>
              <w:bottom w:val="single" w:color="auto" w:sz="4" w:space="0"/>
              <w:right w:val="single" w:color="auto" w:sz="4" w:space="0"/>
            </w:tcBorders>
          </w:tcPr>
          <w:p>
            <w:pPr>
              <w:pStyle w:val="8"/>
              <w:widowControl/>
              <w:spacing w:line="240" w:lineRule="exact"/>
              <w:jc w:val="center"/>
              <w:rPr>
                <w:rFonts w:ascii="宋体" w:hAnsi="宋体" w:cs="宋体"/>
                <w:kern w:val="0"/>
                <w:sz w:val="18"/>
                <w:szCs w:val="18"/>
                <w:highlight w:val="none"/>
              </w:rPr>
            </w:pPr>
          </w:p>
        </w:tc>
        <w:tc>
          <w:tcPr>
            <w:tcW w:w="808" w:type="dxa"/>
            <w:tcBorders>
              <w:top w:val="single" w:color="auto" w:sz="4" w:space="0"/>
              <w:left w:val="single" w:color="auto" w:sz="4" w:space="0"/>
              <w:bottom w:val="single" w:color="auto" w:sz="4" w:space="0"/>
              <w:right w:val="single" w:color="auto" w:sz="4" w:space="0"/>
            </w:tcBorders>
            <w:vAlign w:val="center"/>
          </w:tcPr>
          <w:p>
            <w:pPr>
              <w:pStyle w:val="8"/>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1077" w:hRule="atLeast"/>
          <w:jc w:val="center"/>
        </w:trPr>
        <w:tc>
          <w:tcPr>
            <w:tcW w:w="1909" w:type="dxa"/>
            <w:gridSpan w:val="2"/>
            <w:tcBorders>
              <w:top w:val="single" w:color="auto" w:sz="4" w:space="0"/>
              <w:left w:val="single" w:color="auto" w:sz="4" w:space="0"/>
              <w:bottom w:val="single" w:color="auto" w:sz="4" w:space="0"/>
              <w:right w:val="single" w:color="auto" w:sz="4" w:space="0"/>
            </w:tcBorders>
            <w:vAlign w:val="center"/>
          </w:tcPr>
          <w:p>
            <w:pPr>
              <w:pStyle w:val="8"/>
              <w:widowControl/>
              <w:spacing w:line="240" w:lineRule="exact"/>
              <w:jc w:val="center"/>
              <w:rPr>
                <w:rFonts w:ascii="宋体" w:hAnsi="宋体" w:cs="宋体"/>
                <w:kern w:val="0"/>
                <w:sz w:val="18"/>
                <w:szCs w:val="18"/>
                <w:highlight w:val="none"/>
              </w:rPr>
            </w:pPr>
            <w:r>
              <w:rPr>
                <w:rFonts w:hint="eastAsia" w:ascii="宋体" w:hAnsi="宋体" w:cs="宋体"/>
                <w:b/>
                <w:bCs/>
                <w:kern w:val="0"/>
                <w:sz w:val="18"/>
                <w:szCs w:val="18"/>
                <w:highlight w:val="none"/>
              </w:rPr>
              <w:t>贡献指标</w:t>
            </w:r>
            <w:r>
              <w:rPr>
                <w:rFonts w:hint="eastAsia" w:ascii="宋体" w:hAnsi="宋体" w:cs="宋体"/>
                <w:kern w:val="0"/>
                <w:sz w:val="18"/>
                <w:szCs w:val="18"/>
                <w:highlight w:val="none"/>
              </w:rPr>
              <w:br w:type="textWrapping"/>
            </w:r>
            <w:r>
              <w:rPr>
                <w:rFonts w:hint="eastAsia" w:ascii="宋体" w:hAnsi="宋体" w:cs="宋体"/>
                <w:b/>
                <w:bCs/>
                <w:kern w:val="0"/>
                <w:sz w:val="18"/>
                <w:szCs w:val="18"/>
                <w:highlight w:val="none"/>
              </w:rPr>
              <w:t>（</w:t>
            </w:r>
            <w:r>
              <w:rPr>
                <w:rFonts w:ascii="宋体" w:hAnsi="宋体" w:cs="宋体"/>
                <w:b/>
                <w:bCs/>
                <w:kern w:val="0"/>
                <w:sz w:val="18"/>
                <w:szCs w:val="18"/>
                <w:highlight w:val="none"/>
              </w:rPr>
              <w:t>50</w:t>
            </w:r>
            <w:r>
              <w:rPr>
                <w:rFonts w:hint="eastAsia" w:ascii="宋体" w:hAnsi="宋体" w:cs="宋体"/>
                <w:b/>
                <w:bCs/>
                <w:kern w:val="0"/>
                <w:sz w:val="18"/>
                <w:szCs w:val="18"/>
                <w:highlight w:val="none"/>
              </w:rPr>
              <w:t>分）</w:t>
            </w:r>
          </w:p>
        </w:tc>
        <w:tc>
          <w:tcPr>
            <w:tcW w:w="6300" w:type="dxa"/>
            <w:tcBorders>
              <w:top w:val="nil"/>
              <w:left w:val="nil"/>
              <w:bottom w:val="single" w:color="auto" w:sz="4" w:space="0"/>
              <w:right w:val="single" w:color="auto" w:sz="4" w:space="0"/>
            </w:tcBorders>
            <w:vAlign w:val="center"/>
          </w:tcPr>
          <w:p>
            <w:pPr>
              <w:pStyle w:val="8"/>
              <w:widowControl/>
              <w:spacing w:line="240" w:lineRule="exact"/>
              <w:jc w:val="left"/>
              <w:rPr>
                <w:rFonts w:ascii="宋体" w:hAnsi="宋体" w:cs="宋体"/>
                <w:kern w:val="0"/>
                <w:sz w:val="18"/>
                <w:szCs w:val="18"/>
                <w:highlight w:val="none"/>
              </w:rPr>
            </w:pPr>
            <w:r>
              <w:rPr>
                <w:rFonts w:hint="eastAsia" w:ascii="宋体" w:hAnsi="宋体" w:cs="宋体"/>
                <w:kern w:val="0"/>
                <w:sz w:val="18"/>
                <w:szCs w:val="18"/>
                <w:highlight w:val="none"/>
              </w:rPr>
              <w:t>主要包括技术工作业绩突出、控制成本、增加效益、开展技术革新和改造、解决技术和生产工艺难题、传授技术、推广经验等</w:t>
            </w:r>
            <w:r>
              <w:rPr>
                <w:rFonts w:hint="eastAsia" w:ascii="宋体" w:hAnsi="宋体" w:cs="宋体"/>
                <w:kern w:val="0"/>
                <w:sz w:val="18"/>
                <w:szCs w:val="18"/>
              </w:rPr>
              <w:t>方面的个人贡献事迹</w:t>
            </w:r>
            <w:r>
              <w:rPr>
                <w:rFonts w:hint="eastAsia" w:ascii="宋体" w:hAnsi="宋体" w:cs="宋体"/>
                <w:kern w:val="0"/>
                <w:sz w:val="18"/>
                <w:szCs w:val="18"/>
                <w:lang w:val="en-US" w:eastAsia="zh-CN"/>
              </w:rPr>
              <w:t>及对应证明</w:t>
            </w:r>
            <w:r>
              <w:rPr>
                <w:rFonts w:hint="eastAsia" w:ascii="宋体" w:hAnsi="宋体" w:cs="宋体"/>
                <w:kern w:val="0"/>
                <w:sz w:val="18"/>
                <w:szCs w:val="18"/>
              </w:rPr>
              <w:t>材料</w:t>
            </w:r>
          </w:p>
        </w:tc>
        <w:tc>
          <w:tcPr>
            <w:tcW w:w="3960" w:type="dxa"/>
            <w:tcBorders>
              <w:top w:val="nil"/>
              <w:left w:val="nil"/>
              <w:bottom w:val="single" w:color="auto" w:sz="4" w:space="0"/>
              <w:right w:val="single" w:color="auto" w:sz="4" w:space="0"/>
            </w:tcBorders>
            <w:vAlign w:val="center"/>
          </w:tcPr>
          <w:p>
            <w:pPr>
              <w:pStyle w:val="8"/>
              <w:widowControl/>
              <w:spacing w:line="240" w:lineRule="exact"/>
              <w:jc w:val="left"/>
              <w:rPr>
                <w:rFonts w:ascii="宋体" w:hAnsi="宋体" w:cs="宋体"/>
                <w:kern w:val="0"/>
                <w:sz w:val="18"/>
                <w:szCs w:val="18"/>
                <w:highlight w:val="none"/>
              </w:rPr>
            </w:pPr>
            <w:r>
              <w:rPr>
                <w:rFonts w:hint="eastAsia" w:ascii="宋体" w:hAnsi="宋体" w:cs="宋体"/>
                <w:kern w:val="0"/>
                <w:sz w:val="18"/>
                <w:szCs w:val="18"/>
                <w:highlight w:val="none"/>
              </w:rPr>
              <w:t>由专业评审小组进行综合评审打分。</w:t>
            </w:r>
          </w:p>
        </w:tc>
        <w:tc>
          <w:tcPr>
            <w:tcW w:w="720" w:type="dxa"/>
            <w:tcBorders>
              <w:top w:val="nil"/>
              <w:left w:val="nil"/>
              <w:bottom w:val="single" w:color="auto" w:sz="4" w:space="0"/>
              <w:right w:val="single" w:color="auto" w:sz="4" w:space="0"/>
            </w:tcBorders>
            <w:vAlign w:val="center"/>
          </w:tcPr>
          <w:p>
            <w:pPr>
              <w:pStyle w:val="8"/>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　</w:t>
            </w:r>
          </w:p>
        </w:tc>
        <w:tc>
          <w:tcPr>
            <w:tcW w:w="720" w:type="dxa"/>
            <w:tcBorders>
              <w:top w:val="single" w:color="auto" w:sz="4" w:space="0"/>
              <w:left w:val="nil"/>
              <w:bottom w:val="single" w:color="auto" w:sz="4" w:space="0"/>
              <w:right w:val="single" w:color="auto" w:sz="4" w:space="0"/>
            </w:tcBorders>
            <w:vAlign w:val="center"/>
          </w:tcPr>
          <w:p>
            <w:pPr>
              <w:pStyle w:val="8"/>
              <w:widowControl/>
              <w:spacing w:line="240" w:lineRule="exact"/>
              <w:jc w:val="center"/>
              <w:rPr>
                <w:rFonts w:hint="eastAsia" w:ascii="宋体" w:hAnsi="宋体" w:cs="宋体"/>
                <w:kern w:val="0"/>
                <w:sz w:val="18"/>
                <w:szCs w:val="18"/>
                <w:highlight w:val="none"/>
              </w:rPr>
            </w:pPr>
          </w:p>
        </w:tc>
        <w:tc>
          <w:tcPr>
            <w:tcW w:w="720" w:type="dxa"/>
            <w:tcBorders>
              <w:top w:val="single" w:color="auto" w:sz="4" w:space="0"/>
              <w:left w:val="nil"/>
              <w:bottom w:val="single" w:color="auto" w:sz="4" w:space="0"/>
              <w:right w:val="single" w:color="auto" w:sz="4" w:space="0"/>
            </w:tcBorders>
            <w:vAlign w:val="center"/>
          </w:tcPr>
          <w:p>
            <w:pPr>
              <w:pStyle w:val="8"/>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　</w:t>
            </w:r>
          </w:p>
        </w:tc>
        <w:tc>
          <w:tcPr>
            <w:tcW w:w="808" w:type="dxa"/>
            <w:tcBorders>
              <w:top w:val="single" w:color="auto" w:sz="4" w:space="0"/>
              <w:left w:val="single" w:color="auto" w:sz="4" w:space="0"/>
              <w:bottom w:val="single" w:color="auto" w:sz="4" w:space="0"/>
              <w:right w:val="single" w:color="auto" w:sz="4" w:space="0"/>
            </w:tcBorders>
            <w:vAlign w:val="center"/>
          </w:tcPr>
          <w:p>
            <w:pPr>
              <w:pStyle w:val="8"/>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632" w:hRule="atLeast"/>
          <w:jc w:val="center"/>
        </w:trPr>
        <w:tc>
          <w:tcPr>
            <w:tcW w:w="1909" w:type="dxa"/>
            <w:gridSpan w:val="2"/>
            <w:tcBorders>
              <w:top w:val="single" w:color="auto" w:sz="4" w:space="0"/>
              <w:left w:val="single" w:color="auto" w:sz="4" w:space="0"/>
              <w:bottom w:val="single" w:color="auto" w:sz="4" w:space="0"/>
              <w:right w:val="single" w:color="auto" w:sz="4" w:space="0"/>
            </w:tcBorders>
            <w:vAlign w:val="center"/>
          </w:tcPr>
          <w:p>
            <w:pPr>
              <w:pStyle w:val="8"/>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6300" w:type="dxa"/>
            <w:tcBorders>
              <w:top w:val="single" w:color="auto" w:sz="4" w:space="0"/>
              <w:left w:val="nil"/>
              <w:bottom w:val="single" w:color="auto" w:sz="4" w:space="0"/>
              <w:right w:val="single" w:color="auto" w:sz="4" w:space="0"/>
            </w:tcBorders>
            <w:vAlign w:val="center"/>
          </w:tcPr>
          <w:p>
            <w:pPr>
              <w:pStyle w:val="8"/>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　</w:t>
            </w:r>
          </w:p>
        </w:tc>
        <w:tc>
          <w:tcPr>
            <w:tcW w:w="3960" w:type="dxa"/>
            <w:tcBorders>
              <w:top w:val="single" w:color="auto" w:sz="4" w:space="0"/>
              <w:left w:val="nil"/>
              <w:bottom w:val="single" w:color="auto" w:sz="4" w:space="0"/>
              <w:right w:val="single" w:color="auto" w:sz="4" w:space="0"/>
            </w:tcBorders>
            <w:vAlign w:val="center"/>
          </w:tcPr>
          <w:p>
            <w:pPr>
              <w:pStyle w:val="8"/>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　</w:t>
            </w:r>
          </w:p>
        </w:tc>
        <w:tc>
          <w:tcPr>
            <w:tcW w:w="720" w:type="dxa"/>
            <w:tcBorders>
              <w:top w:val="single" w:color="auto" w:sz="4" w:space="0"/>
              <w:left w:val="single" w:color="auto" w:sz="4" w:space="0"/>
              <w:bottom w:val="single" w:color="auto" w:sz="4" w:space="0"/>
              <w:right w:val="single" w:color="auto" w:sz="4" w:space="0"/>
            </w:tcBorders>
            <w:vAlign w:val="center"/>
          </w:tcPr>
          <w:p>
            <w:pPr>
              <w:pStyle w:val="8"/>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　</w:t>
            </w:r>
          </w:p>
        </w:tc>
        <w:tc>
          <w:tcPr>
            <w:tcW w:w="720" w:type="dxa"/>
            <w:tcBorders>
              <w:top w:val="single" w:color="auto" w:sz="4" w:space="0"/>
              <w:left w:val="nil"/>
              <w:bottom w:val="single" w:color="auto" w:sz="4" w:space="0"/>
              <w:right w:val="single" w:color="auto" w:sz="4" w:space="0"/>
            </w:tcBorders>
            <w:vAlign w:val="center"/>
          </w:tcPr>
          <w:p>
            <w:pPr>
              <w:pStyle w:val="8"/>
              <w:widowControl/>
              <w:spacing w:line="240" w:lineRule="exact"/>
              <w:jc w:val="center"/>
              <w:rPr>
                <w:rFonts w:hint="eastAsia" w:ascii="宋体" w:hAnsi="宋体" w:cs="宋体"/>
                <w:kern w:val="0"/>
                <w:sz w:val="18"/>
                <w:szCs w:val="18"/>
                <w:highlight w:val="none"/>
              </w:rPr>
            </w:pPr>
          </w:p>
        </w:tc>
        <w:tc>
          <w:tcPr>
            <w:tcW w:w="720" w:type="dxa"/>
            <w:tcBorders>
              <w:top w:val="single" w:color="auto" w:sz="4" w:space="0"/>
              <w:left w:val="nil"/>
              <w:bottom w:val="single" w:color="auto" w:sz="4" w:space="0"/>
              <w:right w:val="single" w:color="auto" w:sz="4" w:space="0"/>
            </w:tcBorders>
            <w:vAlign w:val="center"/>
          </w:tcPr>
          <w:p>
            <w:pPr>
              <w:pStyle w:val="8"/>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　</w:t>
            </w:r>
          </w:p>
        </w:tc>
        <w:tc>
          <w:tcPr>
            <w:tcW w:w="808" w:type="dxa"/>
            <w:tcBorders>
              <w:top w:val="single" w:color="auto" w:sz="4" w:space="0"/>
              <w:left w:val="single" w:color="auto" w:sz="4" w:space="0"/>
              <w:bottom w:val="single" w:color="auto" w:sz="4" w:space="0"/>
              <w:right w:val="single" w:color="auto" w:sz="4" w:space="0"/>
            </w:tcBorders>
            <w:vAlign w:val="center"/>
          </w:tcPr>
          <w:p>
            <w:pPr>
              <w:pStyle w:val="8"/>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bl>
    <w:p>
      <w:pPr>
        <w:pStyle w:val="8"/>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b/>
          <w:bCs/>
          <w:sz w:val="24"/>
          <w:szCs w:val="24"/>
          <w:highlight w:val="none"/>
        </w:rPr>
      </w:pPr>
      <w:r>
        <w:rPr>
          <w:rFonts w:hint="eastAsia" w:ascii="宋体" w:hAnsi="宋体"/>
          <w:b/>
          <w:bCs/>
          <w:sz w:val="24"/>
          <w:szCs w:val="24"/>
          <w:highlight w:val="none"/>
        </w:rPr>
        <w:t>说明：</w:t>
      </w:r>
    </w:p>
    <w:p>
      <w:pPr>
        <w:pStyle w:val="8"/>
        <w:keepNext w:val="0"/>
        <w:keepLines w:val="0"/>
        <w:pageBreakBefore w:val="0"/>
        <w:widowControl w:val="0"/>
        <w:kinsoku/>
        <w:wordWrap/>
        <w:overflowPunct/>
        <w:topLinePunct w:val="0"/>
        <w:autoSpaceDE/>
        <w:autoSpaceDN/>
        <w:bidi w:val="0"/>
        <w:adjustRightInd/>
        <w:snapToGrid/>
        <w:spacing w:line="440" w:lineRule="exact"/>
        <w:textAlignment w:val="auto"/>
        <w:rPr>
          <w:rFonts w:ascii="宋体" w:hAnsi="宋体"/>
          <w:sz w:val="24"/>
          <w:szCs w:val="24"/>
          <w:highlight w:val="none"/>
        </w:rPr>
      </w:pPr>
      <w:r>
        <w:rPr>
          <w:rFonts w:hint="eastAsia" w:ascii="宋体" w:hAnsi="宋体"/>
          <w:sz w:val="24"/>
          <w:szCs w:val="24"/>
          <w:highlight w:val="none"/>
        </w:rPr>
        <w:t>1.优秀技术骨干的资格认定采用积分</w:t>
      </w:r>
      <w:r>
        <w:rPr>
          <w:rFonts w:hint="eastAsia" w:ascii="宋体" w:hAnsi="宋体"/>
          <w:sz w:val="24"/>
          <w:szCs w:val="24"/>
          <w:highlight w:val="none"/>
          <w:lang w:eastAsia="zh-CN"/>
        </w:rPr>
        <w:t>遴选</w:t>
      </w:r>
      <w:r>
        <w:rPr>
          <w:rFonts w:hint="eastAsia" w:ascii="宋体" w:hAnsi="宋体"/>
          <w:sz w:val="24"/>
          <w:szCs w:val="24"/>
          <w:highlight w:val="none"/>
        </w:rPr>
        <w:t>方式，积分指标体系分为基础指标和技能贡献指标两大部分，个人的总积分等于基础指标和技能贡献指标之和。在遴选第250名入围人选时出现得分相同的情况，按以下次序逐条优先排列进行筛选：（1）按最高的职业资格倒序排列，即正高职称/高级技师&gt;副高职称/技师&gt;中级职称/高级技工；（2）按服务年限由长到短顺序排列。按以上次序排列筛选后仍出现得分相同无法区分排名先后的情况，则当年入围人员按少于250名的原则执行。</w:t>
      </w:r>
    </w:p>
    <w:p>
      <w:pPr>
        <w:pStyle w:val="8"/>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s="Times New Roman"/>
          <w:b/>
          <w:bCs/>
          <w:sz w:val="24"/>
          <w:szCs w:val="24"/>
          <w:highlight w:val="none"/>
        </w:rPr>
      </w:pPr>
      <w:r>
        <w:rPr>
          <w:rFonts w:hint="eastAsia" w:ascii="宋体" w:hAnsi="宋体"/>
          <w:sz w:val="24"/>
          <w:szCs w:val="24"/>
          <w:highlight w:val="none"/>
        </w:rPr>
        <w:t>2.基础指标分值上不封顶，总分为</w:t>
      </w:r>
      <w:r>
        <w:rPr>
          <w:rFonts w:hint="eastAsia" w:ascii="宋体" w:hAnsi="宋体"/>
          <w:sz w:val="24"/>
          <w:szCs w:val="24"/>
          <w:highlight w:val="none"/>
          <w:lang w:val="en-US" w:eastAsia="zh-CN"/>
        </w:rPr>
        <w:t>本表</w:t>
      </w:r>
      <w:r>
        <w:rPr>
          <w:rFonts w:hint="eastAsia" w:ascii="宋体" w:hAnsi="宋体"/>
          <w:sz w:val="24"/>
          <w:szCs w:val="24"/>
          <w:highlight w:val="none"/>
        </w:rPr>
        <w:t>所列7个分指标得分</w:t>
      </w:r>
      <w:r>
        <w:rPr>
          <w:rFonts w:hint="eastAsia" w:ascii="宋体" w:hAnsi="宋体"/>
          <w:sz w:val="24"/>
          <w:szCs w:val="24"/>
          <w:highlight w:val="none"/>
          <w:lang w:val="en-US" w:eastAsia="zh-CN"/>
        </w:rPr>
        <w:t>之</w:t>
      </w:r>
      <w:r>
        <w:rPr>
          <w:rFonts w:hint="eastAsia" w:ascii="宋体" w:hAnsi="宋体"/>
          <w:sz w:val="24"/>
          <w:szCs w:val="24"/>
          <w:highlight w:val="none"/>
        </w:rPr>
        <w:t>和。除特殊说明外，每个分指标内评分</w:t>
      </w:r>
      <w:r>
        <w:rPr>
          <w:rFonts w:hint="eastAsia" w:ascii="宋体" w:hAnsi="宋体"/>
          <w:sz w:val="24"/>
          <w:szCs w:val="24"/>
          <w:highlight w:val="none"/>
          <w:lang w:val="en-US" w:eastAsia="zh-CN"/>
        </w:rPr>
        <w:t>的</w:t>
      </w:r>
      <w:r>
        <w:rPr>
          <w:rFonts w:hint="eastAsia" w:ascii="宋体" w:hAnsi="宋体"/>
          <w:sz w:val="24"/>
          <w:szCs w:val="24"/>
          <w:highlight w:val="none"/>
        </w:rPr>
        <w:t>项目只能多选一，不</w:t>
      </w:r>
      <w:r>
        <w:rPr>
          <w:rFonts w:hint="eastAsia" w:ascii="宋体" w:hAnsi="宋体"/>
          <w:sz w:val="24"/>
          <w:szCs w:val="24"/>
          <w:highlight w:val="none"/>
          <w:lang w:val="en-US" w:eastAsia="zh-CN"/>
        </w:rPr>
        <w:t>能</w:t>
      </w:r>
      <w:r>
        <w:rPr>
          <w:rFonts w:hint="eastAsia" w:ascii="宋体" w:hAnsi="宋体"/>
          <w:sz w:val="24"/>
          <w:szCs w:val="24"/>
          <w:highlight w:val="none"/>
        </w:rPr>
        <w:t>重复累计分数。</w:t>
      </w:r>
      <w:r>
        <w:rPr>
          <w:rFonts w:hint="eastAsia" w:ascii="宋体" w:hAnsi="宋体"/>
          <w:b/>
          <w:bCs/>
          <w:sz w:val="24"/>
          <w:szCs w:val="24"/>
          <w:highlight w:val="none"/>
        </w:rPr>
        <w:t>“获得专利授权”</w:t>
      </w:r>
      <w:r>
        <w:rPr>
          <w:rFonts w:hint="eastAsia" w:ascii="宋体" w:hAnsi="宋体"/>
          <w:b/>
          <w:bCs/>
          <w:sz w:val="24"/>
          <w:szCs w:val="24"/>
          <w:highlight w:val="none"/>
          <w:lang w:eastAsia="zh-CN"/>
        </w:rPr>
        <w:t>、“编制技术标准”、</w:t>
      </w:r>
      <w:r>
        <w:rPr>
          <w:rFonts w:hint="eastAsia" w:ascii="宋体" w:hAnsi="宋体"/>
          <w:b/>
          <w:bCs/>
          <w:sz w:val="24"/>
          <w:szCs w:val="24"/>
          <w:highlight w:val="none"/>
        </w:rPr>
        <w:t>“获得其他相关奖励”</w:t>
      </w:r>
      <w:r>
        <w:rPr>
          <w:rFonts w:hint="eastAsia" w:ascii="宋体" w:hAnsi="宋体"/>
          <w:b/>
          <w:bCs/>
          <w:sz w:val="24"/>
          <w:szCs w:val="24"/>
          <w:highlight w:val="none"/>
          <w:lang w:val="en-US" w:eastAsia="zh-CN"/>
        </w:rPr>
        <w:t>这三个</w:t>
      </w:r>
      <w:r>
        <w:rPr>
          <w:rFonts w:hint="eastAsia" w:ascii="宋体" w:hAnsi="宋体"/>
          <w:b/>
          <w:bCs/>
          <w:color w:val="000000" w:themeColor="text1"/>
          <w:sz w:val="24"/>
          <w:szCs w:val="24"/>
          <w:highlight w:val="none"/>
          <w14:textFill>
            <w14:solidFill>
              <w14:schemeClr w14:val="tx1"/>
            </w14:solidFill>
          </w14:textFill>
        </w:rPr>
        <w:t>指</w:t>
      </w:r>
      <w:r>
        <w:rPr>
          <w:rFonts w:hint="eastAsia" w:ascii="宋体" w:hAnsi="宋体" w:cs="Times New Roman"/>
          <w:b/>
          <w:bCs/>
          <w:sz w:val="24"/>
          <w:szCs w:val="24"/>
          <w:highlight w:val="none"/>
        </w:rPr>
        <w:t>标的统计时间段为20</w:t>
      </w:r>
      <w:r>
        <w:rPr>
          <w:rFonts w:hint="eastAsia" w:ascii="宋体" w:hAnsi="宋体" w:cs="Times New Roman"/>
          <w:b/>
          <w:bCs/>
          <w:sz w:val="24"/>
          <w:szCs w:val="24"/>
          <w:highlight w:val="none"/>
          <w:lang w:val="en-US" w:eastAsia="zh-CN"/>
        </w:rPr>
        <w:t>21</w:t>
      </w:r>
      <w:r>
        <w:rPr>
          <w:rFonts w:hint="eastAsia" w:ascii="宋体" w:hAnsi="宋体" w:cs="Times New Roman"/>
          <w:b/>
          <w:bCs/>
          <w:sz w:val="24"/>
          <w:szCs w:val="24"/>
          <w:highlight w:val="none"/>
        </w:rPr>
        <w:t>年</w:t>
      </w:r>
      <w:r>
        <w:rPr>
          <w:rFonts w:hint="eastAsia" w:ascii="宋体" w:hAnsi="宋体" w:cs="Times New Roman"/>
          <w:b/>
          <w:bCs/>
          <w:sz w:val="24"/>
          <w:szCs w:val="24"/>
          <w:highlight w:val="none"/>
          <w:lang w:val="en-US" w:eastAsia="zh-CN"/>
        </w:rPr>
        <w:t>5</w:t>
      </w:r>
      <w:r>
        <w:rPr>
          <w:rFonts w:hint="eastAsia" w:ascii="宋体" w:hAnsi="宋体" w:cs="Times New Roman"/>
          <w:b/>
          <w:bCs/>
          <w:sz w:val="24"/>
          <w:szCs w:val="24"/>
          <w:highlight w:val="none"/>
        </w:rPr>
        <w:t>月</w:t>
      </w:r>
      <w:r>
        <w:rPr>
          <w:rFonts w:hint="eastAsia" w:ascii="宋体" w:hAnsi="宋体" w:cs="Times New Roman"/>
          <w:b/>
          <w:bCs/>
          <w:sz w:val="24"/>
          <w:szCs w:val="24"/>
          <w:highlight w:val="none"/>
          <w:lang w:val="en-US" w:eastAsia="zh-CN"/>
        </w:rPr>
        <w:t>27</w:t>
      </w:r>
      <w:r>
        <w:rPr>
          <w:rFonts w:hint="eastAsia" w:ascii="宋体" w:hAnsi="宋体" w:cs="Times New Roman"/>
          <w:b/>
          <w:bCs/>
          <w:sz w:val="24"/>
          <w:szCs w:val="24"/>
          <w:highlight w:val="none"/>
        </w:rPr>
        <w:t>日</w:t>
      </w:r>
      <w:r>
        <w:rPr>
          <w:rFonts w:hint="eastAsia" w:ascii="宋体" w:hAnsi="宋体" w:cs="Times New Roman"/>
          <w:b/>
          <w:bCs/>
          <w:sz w:val="24"/>
          <w:szCs w:val="24"/>
          <w:highlight w:val="none"/>
          <w:lang w:val="en-US" w:eastAsia="zh-CN"/>
        </w:rPr>
        <w:t>起</w:t>
      </w:r>
      <w:r>
        <w:rPr>
          <w:rFonts w:hint="eastAsia" w:ascii="宋体" w:hAnsi="宋体" w:cs="Times New Roman"/>
          <w:b/>
          <w:bCs/>
          <w:sz w:val="24"/>
          <w:szCs w:val="24"/>
          <w:highlight w:val="none"/>
        </w:rPr>
        <w:t>至</w:t>
      </w:r>
      <w:r>
        <w:rPr>
          <w:rFonts w:hint="eastAsia" w:ascii="宋体" w:hAnsi="宋体" w:cs="Times New Roman"/>
          <w:b/>
          <w:bCs/>
          <w:sz w:val="24"/>
          <w:szCs w:val="24"/>
          <w:highlight w:val="none"/>
          <w:lang w:val="en-US" w:eastAsia="zh-CN"/>
        </w:rPr>
        <w:t>本通知发布之日止</w:t>
      </w:r>
      <w:r>
        <w:rPr>
          <w:rFonts w:hint="eastAsia" w:ascii="宋体" w:hAnsi="宋体" w:cs="Times New Roman"/>
          <w:b/>
          <w:bCs/>
          <w:sz w:val="24"/>
          <w:szCs w:val="24"/>
          <w:highlight w:val="none"/>
        </w:rPr>
        <w:t>。</w:t>
      </w:r>
    </w:p>
    <w:p>
      <w:pPr>
        <w:pStyle w:val="8"/>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sz w:val="24"/>
          <w:szCs w:val="24"/>
          <w:highlight w:val="none"/>
          <w:lang w:eastAsia="zh-CN"/>
        </w:rPr>
      </w:pPr>
      <w:r>
        <w:rPr>
          <w:rFonts w:hint="eastAsia" w:ascii="宋体" w:hAnsi="宋体"/>
          <w:sz w:val="24"/>
          <w:szCs w:val="24"/>
          <w:highlight w:val="none"/>
        </w:rPr>
        <w:t>3.贡献指标分值</w:t>
      </w:r>
      <w:r>
        <w:rPr>
          <w:rFonts w:ascii="宋体" w:hAnsi="宋体"/>
          <w:sz w:val="24"/>
          <w:szCs w:val="24"/>
          <w:highlight w:val="none"/>
        </w:rPr>
        <w:t>50</w:t>
      </w:r>
      <w:r>
        <w:rPr>
          <w:rFonts w:hint="eastAsia" w:ascii="宋体" w:hAnsi="宋体"/>
          <w:sz w:val="24"/>
          <w:szCs w:val="24"/>
          <w:highlight w:val="none"/>
        </w:rPr>
        <w:t>分，由评审委员会专家组对个人报送的个人事迹材料及相关佐证材料进行专业评分。撰写的个人贡献事迹材料应简明扼要，有相应事例、数据</w:t>
      </w:r>
      <w:r>
        <w:rPr>
          <w:rFonts w:hint="eastAsia" w:ascii="宋体" w:hAnsi="宋体"/>
          <w:sz w:val="24"/>
          <w:szCs w:val="24"/>
          <w:highlight w:val="none"/>
          <w:lang w:val="en-US" w:eastAsia="zh-CN"/>
        </w:rPr>
        <w:t>和</w:t>
      </w:r>
      <w:r>
        <w:rPr>
          <w:rFonts w:hint="eastAsia" w:ascii="宋体" w:hAnsi="宋体"/>
          <w:sz w:val="24"/>
          <w:szCs w:val="24"/>
          <w:highlight w:val="none"/>
        </w:rPr>
        <w:t>佐证材料</w:t>
      </w:r>
      <w:r>
        <w:rPr>
          <w:rFonts w:hint="eastAsia" w:ascii="宋体" w:hAnsi="宋体"/>
          <w:sz w:val="24"/>
          <w:szCs w:val="24"/>
          <w:highlight w:val="none"/>
          <w:lang w:val="en-US" w:eastAsia="zh-CN"/>
        </w:rPr>
        <w:t>等支持，</w:t>
      </w:r>
      <w:r>
        <w:rPr>
          <w:rFonts w:hint="eastAsia" w:ascii="宋体" w:hAnsi="宋体"/>
          <w:sz w:val="24"/>
          <w:szCs w:val="24"/>
          <w:highlight w:val="none"/>
        </w:rPr>
        <w:t>应重点突出、内容详实</w:t>
      </w:r>
      <w:r>
        <w:rPr>
          <w:rFonts w:hint="eastAsia" w:ascii="宋体" w:hAnsi="宋体"/>
          <w:sz w:val="24"/>
          <w:szCs w:val="24"/>
          <w:highlight w:val="none"/>
          <w:lang w:eastAsia="zh-CN"/>
        </w:rPr>
        <w:t>。</w:t>
      </w:r>
    </w:p>
    <w:p>
      <w:pPr>
        <w:rPr>
          <w:sz w:val="24"/>
          <w:szCs w:val="24"/>
        </w:rPr>
      </w:pPr>
    </w:p>
    <w:sectPr>
      <w:footerReference r:id="rId3" w:type="default"/>
      <w:pgSz w:w="16838" w:h="11906" w:orient="landscape"/>
      <w:pgMar w:top="1417" w:right="1417" w:bottom="1417" w:left="1417" w:header="851" w:footer="992" w:gutter="0"/>
      <w:pgBorders>
        <w:top w:val="none" w:sz="0" w:space="0"/>
        <w:left w:val="none" w:sz="0" w:space="0"/>
        <w:bottom w:val="none" w:sz="0" w:space="0"/>
        <w:right w:val="none" w:sz="0" w:space="0"/>
      </w:pgBorders>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djZjhjYzY0ZGMzMmQ3ZjE0NjVhNDg0MDVkMGE3MzkifQ=="/>
  </w:docVars>
  <w:rsids>
    <w:rsidRoot w:val="69D11956"/>
    <w:rsid w:val="0020742C"/>
    <w:rsid w:val="01150E65"/>
    <w:rsid w:val="0219046B"/>
    <w:rsid w:val="040C29D4"/>
    <w:rsid w:val="055B2B8B"/>
    <w:rsid w:val="08903D4A"/>
    <w:rsid w:val="1075743F"/>
    <w:rsid w:val="10CB2632"/>
    <w:rsid w:val="11AF13D4"/>
    <w:rsid w:val="1213394E"/>
    <w:rsid w:val="13EB6621"/>
    <w:rsid w:val="16210BF1"/>
    <w:rsid w:val="19FF44EF"/>
    <w:rsid w:val="1B3917A7"/>
    <w:rsid w:val="1BB73FEF"/>
    <w:rsid w:val="1C05662C"/>
    <w:rsid w:val="1C497979"/>
    <w:rsid w:val="1D4C42F6"/>
    <w:rsid w:val="1E4D3A59"/>
    <w:rsid w:val="201A4AB5"/>
    <w:rsid w:val="22717E61"/>
    <w:rsid w:val="23E637E2"/>
    <w:rsid w:val="25190EF1"/>
    <w:rsid w:val="26C6128D"/>
    <w:rsid w:val="270721AC"/>
    <w:rsid w:val="27A3169D"/>
    <w:rsid w:val="27B931BF"/>
    <w:rsid w:val="29303653"/>
    <w:rsid w:val="29FA1132"/>
    <w:rsid w:val="2B502260"/>
    <w:rsid w:val="2B9F5A71"/>
    <w:rsid w:val="2C1A2D61"/>
    <w:rsid w:val="2C4220B3"/>
    <w:rsid w:val="2D641037"/>
    <w:rsid w:val="2DFB5EBC"/>
    <w:rsid w:val="2FE74F80"/>
    <w:rsid w:val="307E3536"/>
    <w:rsid w:val="31E42DF9"/>
    <w:rsid w:val="32BB0BEB"/>
    <w:rsid w:val="33C775C3"/>
    <w:rsid w:val="356C5EB9"/>
    <w:rsid w:val="37B158CF"/>
    <w:rsid w:val="3BB75445"/>
    <w:rsid w:val="3D7E199B"/>
    <w:rsid w:val="3D922A12"/>
    <w:rsid w:val="3E13345D"/>
    <w:rsid w:val="3F322632"/>
    <w:rsid w:val="3FD417A1"/>
    <w:rsid w:val="40AE3A6A"/>
    <w:rsid w:val="42A9778D"/>
    <w:rsid w:val="44753CD5"/>
    <w:rsid w:val="503449CF"/>
    <w:rsid w:val="50E50B18"/>
    <w:rsid w:val="547515F7"/>
    <w:rsid w:val="54F13E29"/>
    <w:rsid w:val="596403B0"/>
    <w:rsid w:val="5B0C762D"/>
    <w:rsid w:val="5C5C5457"/>
    <w:rsid w:val="5D9F2120"/>
    <w:rsid w:val="5ED56A95"/>
    <w:rsid w:val="5F205EDC"/>
    <w:rsid w:val="5FB85ADB"/>
    <w:rsid w:val="605F4241"/>
    <w:rsid w:val="60631DD8"/>
    <w:rsid w:val="60644BD3"/>
    <w:rsid w:val="62702A06"/>
    <w:rsid w:val="651553F4"/>
    <w:rsid w:val="67BB64D5"/>
    <w:rsid w:val="68610E15"/>
    <w:rsid w:val="68D814B5"/>
    <w:rsid w:val="69BF3C2A"/>
    <w:rsid w:val="69D11956"/>
    <w:rsid w:val="6B6A7FB6"/>
    <w:rsid w:val="6B764137"/>
    <w:rsid w:val="6FC1745E"/>
    <w:rsid w:val="70DD6E1F"/>
    <w:rsid w:val="718C0AC9"/>
    <w:rsid w:val="72010BCD"/>
    <w:rsid w:val="739A2DEF"/>
    <w:rsid w:val="75046BEC"/>
    <w:rsid w:val="76A17871"/>
    <w:rsid w:val="78991B31"/>
    <w:rsid w:val="79A41C1E"/>
    <w:rsid w:val="7A6D766B"/>
    <w:rsid w:val="7AC1461E"/>
    <w:rsid w:val="7BB11BE8"/>
    <w:rsid w:val="7BCC6865"/>
    <w:rsid w:val="7CA63E86"/>
    <w:rsid w:val="7D8F61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toc 2"/>
    <w:basedOn w:val="1"/>
    <w:next w:val="1"/>
    <w:qFormat/>
    <w:uiPriority w:val="0"/>
    <w:pPr>
      <w:jc w:val="left"/>
    </w:pPr>
    <w:rPr>
      <w:rFonts w:ascii="仿宋_GB2312" w:eastAsia="仿宋_GB2312"/>
      <w:color w:val="000000"/>
      <w:sz w:val="32"/>
      <w:szCs w:val="32"/>
    </w:rPr>
  </w:style>
  <w:style w:type="paragraph" w:styleId="3">
    <w:name w:val="annotation text"/>
    <w:basedOn w:val="1"/>
    <w:qFormat/>
    <w:uiPriority w:val="0"/>
    <w:pPr>
      <w:jc w:val="left"/>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正文 New"/>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1684</Words>
  <Characters>1770</Characters>
  <Lines>0</Lines>
  <Paragraphs>0</Paragraphs>
  <TotalTime>124</TotalTime>
  <ScaleCrop>false</ScaleCrop>
  <LinksUpToDate>false</LinksUpToDate>
  <CharactersWithSpaces>1907</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2021-05-26T07:48:00Z</dcterms:created>
  <dc:creator>陈晓艳</dc:creator>
  <cp:lastModifiedBy>来兮</cp:lastModifiedBy>
  <cp:lastPrinted>2022-06-06T06:54:00Z</cp:lastPrinted>
  <dcterms:modified xsi:type="dcterms:W3CDTF">2022-06-27T08:04:40Z</dcterms:modified>
  <dc:title>附件3-3</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F8F40F21BDD44A768AC81657FE449EFA</vt:lpwstr>
  </property>
</Properties>
</file>